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12" w:rsidRPr="00331C3A" w:rsidRDefault="003F4912" w:rsidP="00FE412B">
      <w:pPr>
        <w:jc w:val="right"/>
        <w:rPr>
          <w:sz w:val="22"/>
          <w:szCs w:val="22"/>
        </w:rPr>
      </w:pPr>
      <w:bookmarkStart w:id="0" w:name="_GoBack"/>
      <w:bookmarkEnd w:id="0"/>
      <w:r w:rsidRPr="00331C3A">
        <w:rPr>
          <w:sz w:val="22"/>
          <w:szCs w:val="22"/>
        </w:rPr>
        <w:t>3.pielikums</w:t>
      </w:r>
    </w:p>
    <w:p w:rsidR="003F4912" w:rsidRPr="00331C3A" w:rsidRDefault="003F4912" w:rsidP="00FE412B">
      <w:pPr>
        <w:jc w:val="right"/>
        <w:rPr>
          <w:sz w:val="22"/>
          <w:szCs w:val="22"/>
        </w:rPr>
      </w:pPr>
      <w:r w:rsidRPr="00331C3A">
        <w:rPr>
          <w:sz w:val="22"/>
          <w:szCs w:val="22"/>
        </w:rPr>
        <w:t>Priekules novada pašvaldības domes   14.01.2014.</w:t>
      </w:r>
    </w:p>
    <w:p w:rsidR="003F4912" w:rsidRPr="00331C3A" w:rsidRDefault="003F4912" w:rsidP="00FE412B">
      <w:pPr>
        <w:jc w:val="right"/>
        <w:rPr>
          <w:b/>
          <w:sz w:val="22"/>
          <w:szCs w:val="22"/>
        </w:rPr>
      </w:pPr>
      <w:r w:rsidRPr="00331C3A">
        <w:rPr>
          <w:sz w:val="22"/>
          <w:szCs w:val="22"/>
        </w:rPr>
        <w:t>sēdes (</w:t>
      </w:r>
      <w:proofErr w:type="spellStart"/>
      <w:r w:rsidRPr="00331C3A">
        <w:rPr>
          <w:sz w:val="22"/>
          <w:szCs w:val="22"/>
        </w:rPr>
        <w:t>prot</w:t>
      </w:r>
      <w:proofErr w:type="spellEnd"/>
      <w:r w:rsidRPr="00331C3A">
        <w:rPr>
          <w:sz w:val="22"/>
          <w:szCs w:val="22"/>
        </w:rPr>
        <w:t>. Nr.1, 9.§)</w:t>
      </w:r>
      <w:r w:rsidRPr="00331C3A">
        <w:rPr>
          <w:b/>
          <w:sz w:val="22"/>
          <w:szCs w:val="22"/>
        </w:rPr>
        <w:t xml:space="preserve"> </w:t>
      </w:r>
    </w:p>
    <w:p w:rsidR="003F4912" w:rsidRPr="00331C3A" w:rsidRDefault="003F4912" w:rsidP="00FE412B">
      <w:pPr>
        <w:jc w:val="right"/>
        <w:rPr>
          <w:sz w:val="22"/>
          <w:szCs w:val="22"/>
        </w:rPr>
      </w:pPr>
      <w:r w:rsidRPr="00331C3A">
        <w:rPr>
          <w:sz w:val="22"/>
          <w:szCs w:val="22"/>
        </w:rPr>
        <w:t>„Par grozījumiem Priekules novada domes institūciju</w:t>
      </w:r>
    </w:p>
    <w:p w:rsidR="003F4912" w:rsidRPr="00331C3A" w:rsidRDefault="003F4912" w:rsidP="00FE412B">
      <w:pPr>
        <w:jc w:val="right"/>
        <w:rPr>
          <w:color w:val="000000"/>
          <w:sz w:val="22"/>
          <w:szCs w:val="22"/>
        </w:rPr>
      </w:pPr>
      <w:r w:rsidRPr="00331C3A">
        <w:rPr>
          <w:sz w:val="22"/>
          <w:szCs w:val="22"/>
        </w:rPr>
        <w:t>amatpersonu un darbinieku atlīdzības nolikumā</w:t>
      </w:r>
      <w:r w:rsidRPr="00331C3A">
        <w:rPr>
          <w:color w:val="000000"/>
          <w:sz w:val="22"/>
          <w:szCs w:val="22"/>
        </w:rPr>
        <w:t>”</w:t>
      </w:r>
    </w:p>
    <w:p w:rsidR="003F4912" w:rsidRDefault="003F4912" w:rsidP="0017560B">
      <w:pPr>
        <w:jc w:val="center"/>
        <w:rPr>
          <w:b/>
          <w:sz w:val="28"/>
          <w:szCs w:val="28"/>
        </w:rPr>
      </w:pPr>
    </w:p>
    <w:p w:rsidR="003F4912" w:rsidRPr="0017560B" w:rsidRDefault="003F4912" w:rsidP="0017560B">
      <w:pPr>
        <w:jc w:val="center"/>
        <w:rPr>
          <w:b/>
          <w:sz w:val="28"/>
          <w:szCs w:val="28"/>
        </w:rPr>
      </w:pPr>
      <w:r w:rsidRPr="0017560B">
        <w:rPr>
          <w:b/>
          <w:sz w:val="28"/>
          <w:szCs w:val="28"/>
        </w:rPr>
        <w:t>Grozījumi Priekules novada domes institūciju</w:t>
      </w:r>
    </w:p>
    <w:p w:rsidR="003F4912" w:rsidRPr="0017560B" w:rsidRDefault="003F4912" w:rsidP="0017560B">
      <w:pPr>
        <w:tabs>
          <w:tab w:val="left" w:pos="0"/>
        </w:tabs>
        <w:jc w:val="center"/>
        <w:rPr>
          <w:sz w:val="28"/>
          <w:szCs w:val="28"/>
        </w:rPr>
      </w:pPr>
      <w:r w:rsidRPr="0017560B">
        <w:rPr>
          <w:b/>
          <w:sz w:val="28"/>
          <w:szCs w:val="28"/>
        </w:rPr>
        <w:t xml:space="preserve">amatpersonu un darbinieku </w:t>
      </w:r>
      <w:r w:rsidRPr="0017560B">
        <w:rPr>
          <w:b/>
          <w:bCs/>
          <w:sz w:val="28"/>
          <w:szCs w:val="28"/>
        </w:rPr>
        <w:t>atlīdzības nolikumā</w:t>
      </w:r>
    </w:p>
    <w:p w:rsidR="003F4912" w:rsidRDefault="003F4912" w:rsidP="00275C58">
      <w:pPr>
        <w:jc w:val="both"/>
      </w:pPr>
    </w:p>
    <w:p w:rsidR="003F4912" w:rsidRDefault="003F4912" w:rsidP="00275C58">
      <w:pPr>
        <w:jc w:val="both"/>
      </w:pPr>
    </w:p>
    <w:p w:rsidR="003F4912" w:rsidRDefault="003F4912" w:rsidP="0017560B">
      <w:pPr>
        <w:ind w:firstLine="720"/>
        <w:jc w:val="both"/>
      </w:pPr>
      <w:r>
        <w:t xml:space="preserve">Izdarīt </w:t>
      </w:r>
      <w:r w:rsidRPr="00275C58">
        <w:t xml:space="preserve">Priekules novada </w:t>
      </w:r>
      <w:r>
        <w:t>domes</w:t>
      </w:r>
      <w:r w:rsidRPr="00275C58">
        <w:t xml:space="preserve"> institūciju amatpersonu un darbinieku atlīdzības nolikumā</w:t>
      </w:r>
      <w:r>
        <w:t xml:space="preserve">, kas </w:t>
      </w:r>
      <w:r w:rsidRPr="00275C58">
        <w:t>apstiprināts ar Priekules novada domes 2012.gada 27.decembra  sēdes  lēmumu (protokols Nr.17, 3.§)</w:t>
      </w:r>
      <w:r>
        <w:t>, šādus grozījumus:</w:t>
      </w:r>
    </w:p>
    <w:p w:rsidR="003F4912" w:rsidRDefault="003F4912" w:rsidP="0017560B">
      <w:pPr>
        <w:ind w:firstLine="720"/>
        <w:jc w:val="both"/>
      </w:pPr>
    </w:p>
    <w:p w:rsidR="003F4912" w:rsidRDefault="003F4912" w:rsidP="00275C58">
      <w:pPr>
        <w:pStyle w:val="Sarakstarindkopa"/>
        <w:numPr>
          <w:ilvl w:val="0"/>
          <w:numId w:val="1"/>
        </w:numPr>
        <w:jc w:val="both"/>
      </w:pPr>
      <w:r w:rsidRPr="00275C58">
        <w:t>Nolikuma nosaukumā vārdu „domes” aizstāt ar vārdu „pašvaldības”.</w:t>
      </w:r>
    </w:p>
    <w:p w:rsidR="003F4912" w:rsidRDefault="003F4912" w:rsidP="00275C58">
      <w:pPr>
        <w:pStyle w:val="Sarakstarindkopa"/>
        <w:numPr>
          <w:ilvl w:val="0"/>
          <w:numId w:val="1"/>
        </w:numPr>
        <w:jc w:val="both"/>
      </w:pPr>
      <w:r w:rsidRPr="00275C58">
        <w:t>Aizstāt 8.punktā vārdu „bankas” ar vārdu „kredītiestādes”.</w:t>
      </w:r>
    </w:p>
    <w:p w:rsidR="003F4912" w:rsidRDefault="003F4912" w:rsidP="00275C58">
      <w:pPr>
        <w:pStyle w:val="Sarakstarindkopa"/>
        <w:numPr>
          <w:ilvl w:val="0"/>
          <w:numId w:val="1"/>
        </w:numPr>
        <w:jc w:val="both"/>
      </w:pPr>
      <w:r w:rsidRPr="00275C58">
        <w:t>Aizstāt 10.punktā vārdu „latos” ar vārdu „</w:t>
      </w:r>
      <w:proofErr w:type="spellStart"/>
      <w:r w:rsidRPr="00275C58">
        <w:t>euro</w:t>
      </w:r>
      <w:proofErr w:type="spellEnd"/>
      <w:r w:rsidRPr="00275C58">
        <w:t>”.</w:t>
      </w:r>
    </w:p>
    <w:p w:rsidR="003F4912" w:rsidRDefault="003F4912" w:rsidP="00275C58">
      <w:pPr>
        <w:pStyle w:val="Sarakstarindkopa"/>
        <w:numPr>
          <w:ilvl w:val="0"/>
          <w:numId w:val="1"/>
        </w:numPr>
        <w:jc w:val="both"/>
      </w:pPr>
      <w:r w:rsidRPr="00275C58">
        <w:t>Aizstāt 11.punktā vārdu „latos” ar vārdu „</w:t>
      </w:r>
      <w:proofErr w:type="spellStart"/>
      <w:r w:rsidRPr="00275C58">
        <w:t>euro</w:t>
      </w:r>
      <w:proofErr w:type="spellEnd"/>
      <w:r w:rsidRPr="00275C58">
        <w:t>”.</w:t>
      </w:r>
    </w:p>
    <w:p w:rsidR="003F4912" w:rsidRPr="00275C58" w:rsidRDefault="003F4912" w:rsidP="00275C58">
      <w:pPr>
        <w:pStyle w:val="Sarakstarindkopa"/>
        <w:numPr>
          <w:ilvl w:val="0"/>
          <w:numId w:val="1"/>
        </w:numPr>
        <w:jc w:val="both"/>
      </w:pPr>
      <w:r w:rsidRPr="00275C58">
        <w:t>Izteikt 21.punktu šādā redakcijā:</w:t>
      </w:r>
    </w:p>
    <w:p w:rsidR="003F4912" w:rsidRPr="00275C58" w:rsidRDefault="003F4912" w:rsidP="00C8315F">
      <w:pPr>
        <w:pStyle w:val="Sarakstarindkopa"/>
        <w:ind w:left="1080"/>
        <w:jc w:val="both"/>
      </w:pPr>
      <w:r w:rsidRPr="00275C58">
        <w:t>„21. Domes deputāti par gatavošanos komiteju un domēs sēdēm, par nostrādātajām stundām domes, domes komiteju, komisiju un darba grupu sēdēs, par attiecīgo domes komiteju vadīšanu saņem šādu atlīdzību:</w:t>
      </w:r>
    </w:p>
    <w:p w:rsidR="003F4912" w:rsidRPr="00275C58" w:rsidRDefault="003F4912" w:rsidP="00275C58">
      <w:pPr>
        <w:pStyle w:val="Sarakstarindkopa"/>
        <w:ind w:left="1701"/>
        <w:jc w:val="both"/>
      </w:pPr>
      <w:r w:rsidRPr="00275C58">
        <w:t>21.1. deputāts, kurš nav attiecīgās komitejas priekšsēdētājs, par vienu komitejas sēdi – EUR 43,00;</w:t>
      </w:r>
    </w:p>
    <w:p w:rsidR="003F4912" w:rsidRPr="00275C58" w:rsidRDefault="003F4912" w:rsidP="00275C58">
      <w:pPr>
        <w:pStyle w:val="Sarakstarindkopa"/>
        <w:ind w:left="1701"/>
        <w:jc w:val="both"/>
      </w:pPr>
      <w:r w:rsidRPr="00275C58">
        <w:t>21.2. komitejas priekšsēdētājs (izņemot finanšu komitejas priekšsēdētāju) par vienu viņa vadītās komitejas sēdi – EUR 50,00;</w:t>
      </w:r>
    </w:p>
    <w:p w:rsidR="003F4912" w:rsidRPr="00275C58" w:rsidRDefault="003F4912" w:rsidP="00275C58">
      <w:pPr>
        <w:pStyle w:val="Sarakstarindkopa"/>
        <w:ind w:left="1701"/>
        <w:jc w:val="both"/>
      </w:pPr>
      <w:r w:rsidRPr="00275C58">
        <w:t>21.3. par vienu domes sēdi – EUR 71,00.</w:t>
      </w:r>
    </w:p>
    <w:p w:rsidR="003F4912" w:rsidRDefault="003F4912" w:rsidP="00275C58">
      <w:pPr>
        <w:pStyle w:val="Sarakstarindkopa"/>
        <w:ind w:left="1701"/>
        <w:jc w:val="both"/>
      </w:pPr>
      <w:r w:rsidRPr="00275C58">
        <w:t>21.4. par darbu komisiju un darba grupu sēdēs – EUR 3,56 par vienu stundu, apmaksāto stundu skaits nevar pārsniegt 10 stundas mēnesī.”</w:t>
      </w:r>
    </w:p>
    <w:p w:rsidR="003F4912" w:rsidRDefault="003F4912" w:rsidP="00275C58">
      <w:pPr>
        <w:spacing w:before="120"/>
        <w:ind w:firstLine="720"/>
        <w:jc w:val="both"/>
      </w:pPr>
      <w:r>
        <w:t>6. Izteikt 29.punktu šādā redakcijā:</w:t>
      </w:r>
    </w:p>
    <w:p w:rsidR="003F4912" w:rsidRDefault="003F4912" w:rsidP="00275C58">
      <w:pPr>
        <w:spacing w:before="120"/>
        <w:ind w:left="720"/>
        <w:jc w:val="both"/>
        <w:rPr>
          <w:szCs w:val="28"/>
        </w:rPr>
      </w:pPr>
      <w:r w:rsidRPr="00687724">
        <w:t>„29. Pašvaldības izpilddirektora mēnešalga tiek noteikta 85% apmērā no Domes priekšsēdētājam noteiktās mēnešalgas apmēra, bet tā nevar būt mazāka par šī Nolikuma pielikumā „Mēnešalgu apmēri pašvaldībā” 15.mēnešalgas grupā noteikto minimālo pakāpes likmi pašvaldībā un lielāka par valstī noteikto maksimālo mēnešalgas apmēru 15.mēnešalgas grupā.</w:t>
      </w:r>
      <w:r w:rsidRPr="00687724">
        <w:rPr>
          <w:szCs w:val="28"/>
        </w:rPr>
        <w:t xml:space="preserve"> Mēnešalga tiek noapaļota pilnos </w:t>
      </w:r>
      <w:proofErr w:type="spellStart"/>
      <w:r w:rsidRPr="00687724">
        <w:rPr>
          <w:i/>
          <w:szCs w:val="28"/>
        </w:rPr>
        <w:t>euro</w:t>
      </w:r>
      <w:proofErr w:type="spellEnd"/>
      <w:r w:rsidRPr="00687724">
        <w:rPr>
          <w:szCs w:val="28"/>
        </w:rPr>
        <w:t>.”</w:t>
      </w:r>
    </w:p>
    <w:p w:rsidR="003F4912" w:rsidRPr="00687724" w:rsidRDefault="003F4912" w:rsidP="00687724">
      <w:pPr>
        <w:spacing w:before="120"/>
        <w:ind w:left="720"/>
        <w:jc w:val="both"/>
        <w:rPr>
          <w:szCs w:val="28"/>
        </w:rPr>
      </w:pPr>
      <w:r>
        <w:rPr>
          <w:szCs w:val="28"/>
        </w:rPr>
        <w:t xml:space="preserve">7. </w:t>
      </w:r>
      <w:r w:rsidRPr="00687724">
        <w:rPr>
          <w:szCs w:val="28"/>
        </w:rPr>
        <w:t>Izteikt 30.punktu šādā redakcijā:</w:t>
      </w:r>
    </w:p>
    <w:p w:rsidR="003F4912" w:rsidRPr="00687724" w:rsidRDefault="003F4912" w:rsidP="00687724">
      <w:pPr>
        <w:spacing w:before="120"/>
        <w:ind w:left="720"/>
        <w:jc w:val="both"/>
        <w:rPr>
          <w:szCs w:val="28"/>
        </w:rPr>
      </w:pPr>
      <w:r w:rsidRPr="00687724">
        <w:rPr>
          <w:szCs w:val="28"/>
        </w:rPr>
        <w:t>„30. Pašvaldības izpilddirektora vietniekam, pašvaldības struktūrvienību/iestāžu vadītājiem un darbiniekiem mēnešalgas apmērs tiek noteikts saskaņā ar šī Nolikuma pielikumu „Mēnešalgu apmēri pašvaldībā”, ņemot vērā amata saimi, līmeni un amata līmenim atbilstošo mēnešalgu grupu un ievērojot šādus ierobežojumu - ja iestādes vadītājam (galvenajam speciālistam) un viņa vietniekam pēc amatu klasificēšanas noteikta viena mēnešalgu grupa, vietniekam atalgojumu nosaka:</w:t>
      </w:r>
    </w:p>
    <w:p w:rsidR="003F4912" w:rsidRPr="00687724" w:rsidRDefault="003F4912" w:rsidP="00687724">
      <w:pPr>
        <w:spacing w:before="120"/>
        <w:ind w:left="1701"/>
        <w:jc w:val="both"/>
        <w:rPr>
          <w:szCs w:val="28"/>
        </w:rPr>
      </w:pPr>
      <w:r w:rsidRPr="00687724">
        <w:rPr>
          <w:szCs w:val="28"/>
        </w:rPr>
        <w:t>30.1. 95% apmērā no vadītāja (galvenā speciālista) mēnešalgas, ja amats klasificēts 9.-10.mēnešalgu grupā;</w:t>
      </w:r>
    </w:p>
    <w:p w:rsidR="003F4912" w:rsidRDefault="003F4912" w:rsidP="00687724">
      <w:pPr>
        <w:spacing w:before="120"/>
        <w:ind w:left="1701"/>
        <w:jc w:val="both"/>
        <w:rPr>
          <w:szCs w:val="28"/>
        </w:rPr>
      </w:pPr>
      <w:r w:rsidRPr="00687724">
        <w:rPr>
          <w:szCs w:val="28"/>
        </w:rPr>
        <w:t>30.2. 90% apmērā no vadītāja (galvenā speciālista) mēnešalgas, ja amats klasificēts 11.-15.mēnešalgu grupā.</w:t>
      </w:r>
      <w:r>
        <w:rPr>
          <w:szCs w:val="28"/>
        </w:rPr>
        <w:t>”</w:t>
      </w:r>
    </w:p>
    <w:p w:rsidR="003F4912" w:rsidRPr="00687724" w:rsidRDefault="003F4912" w:rsidP="00687724">
      <w:pPr>
        <w:spacing w:before="120"/>
        <w:ind w:left="709"/>
        <w:jc w:val="both"/>
        <w:rPr>
          <w:szCs w:val="28"/>
        </w:rPr>
      </w:pPr>
      <w:r>
        <w:rPr>
          <w:szCs w:val="28"/>
        </w:rPr>
        <w:t xml:space="preserve">8. </w:t>
      </w:r>
      <w:r w:rsidRPr="00687724">
        <w:rPr>
          <w:szCs w:val="28"/>
        </w:rPr>
        <w:t xml:space="preserve">  Izteikt 32.punkta otro teikumu šādā redakcijā:</w:t>
      </w:r>
    </w:p>
    <w:p w:rsidR="003F4912" w:rsidRDefault="003F4912" w:rsidP="00687724">
      <w:pPr>
        <w:spacing w:before="120"/>
        <w:ind w:left="709"/>
        <w:jc w:val="both"/>
        <w:rPr>
          <w:szCs w:val="28"/>
        </w:rPr>
      </w:pPr>
      <w:r w:rsidRPr="00687724">
        <w:rPr>
          <w:szCs w:val="28"/>
        </w:rPr>
        <w:t>„Darbinieku amatu klasificēšanas rezultātus apstiprina Domes priekšsēdētājs.”</w:t>
      </w:r>
    </w:p>
    <w:p w:rsidR="003F4912" w:rsidRPr="00687724" w:rsidRDefault="003F4912" w:rsidP="00687724">
      <w:pPr>
        <w:spacing w:before="120"/>
        <w:ind w:left="709"/>
        <w:jc w:val="both"/>
        <w:rPr>
          <w:szCs w:val="28"/>
        </w:rPr>
      </w:pPr>
      <w:r>
        <w:rPr>
          <w:szCs w:val="28"/>
        </w:rPr>
        <w:lastRenderedPageBreak/>
        <w:t xml:space="preserve">9. </w:t>
      </w:r>
      <w:r w:rsidRPr="00687724">
        <w:rPr>
          <w:szCs w:val="28"/>
        </w:rPr>
        <w:t>Izteikt 33.punktu šādā redakcijā:</w:t>
      </w:r>
    </w:p>
    <w:p w:rsidR="003F4912" w:rsidRDefault="003F4912" w:rsidP="00687724">
      <w:pPr>
        <w:spacing w:before="120"/>
        <w:ind w:left="709"/>
        <w:jc w:val="both"/>
        <w:rPr>
          <w:szCs w:val="28"/>
        </w:rPr>
      </w:pPr>
      <w:r w:rsidRPr="00687724">
        <w:rPr>
          <w:szCs w:val="28"/>
        </w:rPr>
        <w:t>„33. Atbilstoši apstiprinātajai amatu klasifikācijai (saimes/</w:t>
      </w:r>
      <w:proofErr w:type="spellStart"/>
      <w:r w:rsidRPr="00687724">
        <w:rPr>
          <w:szCs w:val="28"/>
        </w:rPr>
        <w:t>apakšsaimes</w:t>
      </w:r>
      <w:proofErr w:type="spellEnd"/>
      <w:r w:rsidRPr="00687724">
        <w:rPr>
          <w:szCs w:val="28"/>
        </w:rPr>
        <w:t xml:space="preserve"> līmenim), kas veikta atbilstoši LR normatīvajos aktos noteiktajai kārtībai, tiek piemērotas attiecīgas mēnešalgu grupas.”</w:t>
      </w:r>
    </w:p>
    <w:p w:rsidR="003F4912" w:rsidRPr="00687724" w:rsidRDefault="003F4912" w:rsidP="00687724">
      <w:pPr>
        <w:spacing w:before="120"/>
        <w:ind w:left="709"/>
        <w:jc w:val="both"/>
        <w:rPr>
          <w:szCs w:val="28"/>
        </w:rPr>
      </w:pPr>
      <w:r>
        <w:rPr>
          <w:szCs w:val="28"/>
        </w:rPr>
        <w:t xml:space="preserve">10. </w:t>
      </w:r>
      <w:r w:rsidRPr="00687724">
        <w:rPr>
          <w:szCs w:val="28"/>
        </w:rPr>
        <w:t>Izteikt 35.punkta sākuma daļu šādā redakcijā:</w:t>
      </w:r>
    </w:p>
    <w:p w:rsidR="003F4912" w:rsidRDefault="003F4912" w:rsidP="00687724">
      <w:pPr>
        <w:spacing w:before="120"/>
        <w:ind w:left="709"/>
        <w:jc w:val="both"/>
        <w:rPr>
          <w:szCs w:val="28"/>
        </w:rPr>
      </w:pPr>
      <w:r w:rsidRPr="00687724">
        <w:rPr>
          <w:szCs w:val="28"/>
        </w:rPr>
        <w:t>„35. Minimālās mēnešalgas pakāpes likme attiecīgajā mēnešalgu grupā tiek noteikta:”</w:t>
      </w:r>
    </w:p>
    <w:p w:rsidR="003F4912" w:rsidRPr="004153F2" w:rsidRDefault="003F4912" w:rsidP="004153F2">
      <w:pPr>
        <w:spacing w:before="120"/>
        <w:ind w:left="709"/>
        <w:jc w:val="both"/>
        <w:rPr>
          <w:szCs w:val="28"/>
        </w:rPr>
      </w:pPr>
      <w:r>
        <w:rPr>
          <w:szCs w:val="28"/>
        </w:rPr>
        <w:t>11. Izteikt 36.punktu</w:t>
      </w:r>
      <w:r w:rsidRPr="004153F2">
        <w:rPr>
          <w:szCs w:val="28"/>
        </w:rPr>
        <w:t xml:space="preserve"> šādā redakcijā: </w:t>
      </w:r>
    </w:p>
    <w:p w:rsidR="003F4912" w:rsidRDefault="003F4912" w:rsidP="004153F2">
      <w:pPr>
        <w:spacing w:before="120"/>
        <w:ind w:left="709"/>
        <w:jc w:val="both"/>
        <w:rPr>
          <w:szCs w:val="28"/>
        </w:rPr>
      </w:pPr>
      <w:r w:rsidRPr="004153F2">
        <w:rPr>
          <w:szCs w:val="28"/>
        </w:rPr>
        <w:t>„36. Ja darbinieks atgriežas no ilgstošas attaisnotas prombūtnes (piemēram, bērna kopšanas atvaļinājums, darbnespēja), viņam piemēro pēdējo noteikto kvalifikācijas pakāpi. Ja darbiniekam iepriekš kvalifikācijas pakāpe nav noteikta, tai piemēro 1.kvalifikācijas pakāpi.”</w:t>
      </w:r>
    </w:p>
    <w:p w:rsidR="003F4912" w:rsidRDefault="003F4912" w:rsidP="004153F2">
      <w:pPr>
        <w:spacing w:before="120"/>
        <w:ind w:left="709"/>
        <w:jc w:val="both"/>
        <w:rPr>
          <w:szCs w:val="28"/>
        </w:rPr>
      </w:pPr>
      <w:r>
        <w:rPr>
          <w:szCs w:val="28"/>
        </w:rPr>
        <w:t xml:space="preserve">12. </w:t>
      </w:r>
      <w:r w:rsidRPr="004153F2">
        <w:rPr>
          <w:szCs w:val="28"/>
        </w:rPr>
        <w:t>Svītrot 38.punktu</w:t>
      </w:r>
      <w:r>
        <w:rPr>
          <w:szCs w:val="28"/>
        </w:rPr>
        <w:t>.</w:t>
      </w:r>
    </w:p>
    <w:p w:rsidR="003F4912" w:rsidRDefault="003F4912" w:rsidP="004153F2">
      <w:pPr>
        <w:spacing w:before="120"/>
        <w:ind w:left="709"/>
        <w:jc w:val="both"/>
        <w:rPr>
          <w:szCs w:val="28"/>
        </w:rPr>
      </w:pPr>
      <w:r>
        <w:rPr>
          <w:szCs w:val="28"/>
        </w:rPr>
        <w:t xml:space="preserve">13. </w:t>
      </w:r>
      <w:r w:rsidRPr="004153F2">
        <w:rPr>
          <w:szCs w:val="28"/>
        </w:rPr>
        <w:t>Svītrot 39.punktu</w:t>
      </w:r>
      <w:r>
        <w:rPr>
          <w:szCs w:val="28"/>
        </w:rPr>
        <w:t>.</w:t>
      </w:r>
    </w:p>
    <w:p w:rsidR="003F4912" w:rsidRDefault="003F4912" w:rsidP="004153F2">
      <w:pPr>
        <w:spacing w:before="120"/>
        <w:ind w:left="709"/>
        <w:jc w:val="both"/>
        <w:rPr>
          <w:szCs w:val="28"/>
        </w:rPr>
      </w:pPr>
      <w:r>
        <w:rPr>
          <w:szCs w:val="28"/>
        </w:rPr>
        <w:t xml:space="preserve">14. </w:t>
      </w:r>
      <w:r w:rsidRPr="004153F2">
        <w:rPr>
          <w:szCs w:val="28"/>
        </w:rPr>
        <w:t>Svītrot 40.punktu</w:t>
      </w:r>
      <w:r>
        <w:rPr>
          <w:szCs w:val="28"/>
        </w:rPr>
        <w:t>.</w:t>
      </w:r>
    </w:p>
    <w:p w:rsidR="003F4912" w:rsidRDefault="003F4912" w:rsidP="004153F2">
      <w:pPr>
        <w:spacing w:before="120"/>
        <w:ind w:left="709"/>
        <w:jc w:val="both"/>
        <w:rPr>
          <w:szCs w:val="28"/>
        </w:rPr>
      </w:pPr>
      <w:r>
        <w:rPr>
          <w:szCs w:val="28"/>
        </w:rPr>
        <w:t xml:space="preserve">15. </w:t>
      </w:r>
      <w:r w:rsidRPr="004153F2">
        <w:rPr>
          <w:szCs w:val="28"/>
        </w:rPr>
        <w:t>Aizstāt 41.punktā vārdus „ar Priekules novada domi” ar vārdiem „ar Priekules novada pašvaldību”.</w:t>
      </w:r>
    </w:p>
    <w:p w:rsidR="003F4912" w:rsidRPr="004153F2" w:rsidRDefault="003F4912" w:rsidP="004153F2">
      <w:pPr>
        <w:spacing w:before="120"/>
        <w:ind w:left="709"/>
        <w:jc w:val="both"/>
        <w:rPr>
          <w:szCs w:val="28"/>
        </w:rPr>
      </w:pPr>
      <w:r>
        <w:rPr>
          <w:szCs w:val="28"/>
        </w:rPr>
        <w:t xml:space="preserve">16. </w:t>
      </w:r>
      <w:r w:rsidRPr="004153F2">
        <w:rPr>
          <w:szCs w:val="28"/>
        </w:rPr>
        <w:t>Izteikt 53.punktu šādā redakcijā:</w:t>
      </w:r>
    </w:p>
    <w:p w:rsidR="003F4912" w:rsidRDefault="003F4912" w:rsidP="004153F2">
      <w:pPr>
        <w:spacing w:before="120"/>
        <w:ind w:left="709"/>
        <w:jc w:val="both"/>
        <w:rPr>
          <w:szCs w:val="28"/>
        </w:rPr>
      </w:pPr>
      <w:r w:rsidRPr="004153F2">
        <w:rPr>
          <w:szCs w:val="28"/>
        </w:rPr>
        <w:t>„53. Virsstundu darbs tiek kompensēts, piešķirot apmaksātu atpūtas laiku atbilstoši nostrādāto virsstundu skaitam citā nedēļas dienā. Par darbu svētku dienās un par virsstundu darbu gadījumos, kad nav iespējams nostrādātās virsstundas kompensēt ar apmaksātu atpūtas laiku citā nedēļas dienā, Darbinieki saņem piemaksu 100% apmērā no tām noteiktās stundas algas likmes. Darbinieks un Darba devējs par virsstundu darbu veikšanu vienojas pirms attiecīgo darbu uzsākšanas (izņemot neparedzētos gadījumus) un šajā brīdī vienojas arī par atpūtas laika piešķiršanas nosacījumiem.”</w:t>
      </w:r>
    </w:p>
    <w:p w:rsidR="003F4912" w:rsidRPr="004153F2" w:rsidRDefault="003F4912" w:rsidP="004153F2">
      <w:pPr>
        <w:spacing w:before="120"/>
        <w:ind w:left="709"/>
        <w:jc w:val="both"/>
        <w:rPr>
          <w:szCs w:val="28"/>
        </w:rPr>
      </w:pPr>
      <w:r>
        <w:rPr>
          <w:szCs w:val="28"/>
        </w:rPr>
        <w:t xml:space="preserve">17. </w:t>
      </w:r>
      <w:r w:rsidRPr="004153F2">
        <w:rPr>
          <w:szCs w:val="28"/>
        </w:rPr>
        <w:t>Izteikt 55.punktu šādā redakcijā:</w:t>
      </w:r>
    </w:p>
    <w:p w:rsidR="003F4912" w:rsidRDefault="003F4912" w:rsidP="004153F2">
      <w:pPr>
        <w:spacing w:before="120"/>
        <w:ind w:left="709"/>
        <w:jc w:val="both"/>
        <w:rPr>
          <w:szCs w:val="28"/>
        </w:rPr>
      </w:pPr>
      <w:r w:rsidRPr="004153F2">
        <w:rPr>
          <w:szCs w:val="28"/>
        </w:rPr>
        <w:t>„55. Uz finanšu komitejas lēmuma pamata darbiniekam, izņemot Domes priekšsēdētāju, Domes priekšsēdētāja vietnieku, pašvaldības domes deputātus, saskaņā ar ikgadējo darbības un tās rezultātu novērtējumu vienu reizi gadā var izmaksāt prēmiju, kuras apmērs nedrīkst pārsniegt 40 % no darbiniekam noteiktās mēnešalgas pamatdarbā pašvaldības budžetā pieejamo finanšu līdzekļu ietvaros. Šī prēmija netiek maksāta par papildus veicamajiem darbiem.”</w:t>
      </w:r>
    </w:p>
    <w:p w:rsidR="003F4912" w:rsidRPr="004153F2" w:rsidRDefault="003F4912" w:rsidP="004153F2">
      <w:pPr>
        <w:spacing w:before="120"/>
        <w:ind w:left="709"/>
        <w:jc w:val="both"/>
        <w:rPr>
          <w:szCs w:val="28"/>
        </w:rPr>
      </w:pPr>
      <w:r>
        <w:rPr>
          <w:szCs w:val="28"/>
        </w:rPr>
        <w:t xml:space="preserve">18. </w:t>
      </w:r>
      <w:r w:rsidRPr="004153F2">
        <w:rPr>
          <w:szCs w:val="28"/>
        </w:rPr>
        <w:t>Izteikt 56.punktu šādā redakcijā:</w:t>
      </w:r>
    </w:p>
    <w:p w:rsidR="003F4912" w:rsidRPr="004153F2" w:rsidRDefault="003F4912" w:rsidP="004153F2">
      <w:pPr>
        <w:spacing w:before="120"/>
        <w:ind w:left="709"/>
        <w:jc w:val="both"/>
        <w:rPr>
          <w:szCs w:val="28"/>
        </w:rPr>
      </w:pPr>
      <w:r w:rsidRPr="004153F2">
        <w:rPr>
          <w:szCs w:val="28"/>
        </w:rPr>
        <w:t>„56. Šī Nolikuma 55.punktā minētās prēmijas apmērus nosaka atbilstoši darbinieku novērtēšanas rezultātā noteiktajām kvalifikācijas pakāpēm:</w:t>
      </w:r>
    </w:p>
    <w:p w:rsidR="003F4912" w:rsidRPr="004153F2" w:rsidRDefault="003F4912" w:rsidP="004153F2">
      <w:pPr>
        <w:spacing w:before="120"/>
        <w:ind w:left="1429" w:firstLine="11"/>
        <w:jc w:val="both"/>
        <w:rPr>
          <w:szCs w:val="28"/>
        </w:rPr>
      </w:pPr>
      <w:r w:rsidRPr="004153F2">
        <w:rPr>
          <w:szCs w:val="28"/>
        </w:rPr>
        <w:t>56.1. maksimālā pakāpe – 40 % apmērā no mēnešalgas;</w:t>
      </w:r>
    </w:p>
    <w:p w:rsidR="003F4912" w:rsidRPr="004153F2" w:rsidRDefault="003F4912" w:rsidP="004153F2">
      <w:pPr>
        <w:spacing w:before="120"/>
        <w:ind w:left="1418" w:firstLine="11"/>
        <w:jc w:val="both"/>
        <w:rPr>
          <w:szCs w:val="28"/>
        </w:rPr>
      </w:pPr>
      <w:r w:rsidRPr="004153F2">
        <w:rPr>
          <w:szCs w:val="28"/>
        </w:rPr>
        <w:t>56.2. 3.kvalifikācijas pakāpe – 35 % apmērā no mēnešalgas;</w:t>
      </w:r>
    </w:p>
    <w:p w:rsidR="003F4912" w:rsidRDefault="003F4912" w:rsidP="004153F2">
      <w:pPr>
        <w:spacing w:before="120"/>
        <w:ind w:left="1407" w:firstLine="11"/>
        <w:jc w:val="both"/>
        <w:rPr>
          <w:szCs w:val="28"/>
        </w:rPr>
      </w:pPr>
      <w:r w:rsidRPr="004153F2">
        <w:rPr>
          <w:szCs w:val="28"/>
        </w:rPr>
        <w:t>56.3. 2.kvalifikācijas pakāpe – 30 % apmērā no mēnešalgas.</w:t>
      </w:r>
      <w:r>
        <w:rPr>
          <w:szCs w:val="28"/>
        </w:rPr>
        <w:t>”</w:t>
      </w:r>
    </w:p>
    <w:p w:rsidR="003F4912" w:rsidRPr="00455594" w:rsidRDefault="003F4912" w:rsidP="00455594">
      <w:pPr>
        <w:spacing w:before="120"/>
        <w:jc w:val="both"/>
        <w:rPr>
          <w:szCs w:val="28"/>
        </w:rPr>
      </w:pPr>
      <w:r>
        <w:rPr>
          <w:szCs w:val="28"/>
        </w:rPr>
        <w:tab/>
        <w:t xml:space="preserve">19. </w:t>
      </w:r>
      <w:r w:rsidRPr="00455594">
        <w:rPr>
          <w:szCs w:val="28"/>
        </w:rPr>
        <w:t>Papildināt nolikumu ar 56</w:t>
      </w:r>
      <w:r>
        <w:rPr>
          <w:szCs w:val="28"/>
          <w:vertAlign w:val="superscript"/>
        </w:rPr>
        <w:t>1</w:t>
      </w:r>
      <w:r w:rsidRPr="00455594">
        <w:rPr>
          <w:szCs w:val="28"/>
        </w:rPr>
        <w:t>.punktu šādā redakcijā:</w:t>
      </w:r>
    </w:p>
    <w:p w:rsidR="003F4912" w:rsidRPr="00455594" w:rsidRDefault="003F4912" w:rsidP="00455594">
      <w:pPr>
        <w:spacing w:before="120"/>
        <w:ind w:left="720"/>
        <w:jc w:val="both"/>
        <w:rPr>
          <w:szCs w:val="28"/>
        </w:rPr>
      </w:pPr>
      <w:r w:rsidRPr="00455594">
        <w:rPr>
          <w:szCs w:val="28"/>
        </w:rPr>
        <w:t>„56</w:t>
      </w:r>
      <w:r>
        <w:rPr>
          <w:szCs w:val="28"/>
          <w:vertAlign w:val="superscript"/>
        </w:rPr>
        <w:t>1</w:t>
      </w:r>
      <w:r w:rsidRPr="00455594">
        <w:rPr>
          <w:szCs w:val="28"/>
        </w:rPr>
        <w:t>. Izpilddirektoram šī Nolikuma 55.punktā minētās prēmijas apmēru nosaka, ņemot vērā Darbinieka profesionālo pieredzi ieņemamajā amatā:</w:t>
      </w:r>
    </w:p>
    <w:p w:rsidR="003F4912" w:rsidRPr="00455594" w:rsidRDefault="003F4912" w:rsidP="00455594">
      <w:pPr>
        <w:spacing w:before="120"/>
        <w:ind w:left="1440"/>
        <w:jc w:val="both"/>
        <w:rPr>
          <w:szCs w:val="28"/>
        </w:rPr>
      </w:pPr>
      <w:r w:rsidRPr="00D277D9">
        <w:rPr>
          <w:szCs w:val="28"/>
        </w:rPr>
        <w:t>56</w:t>
      </w:r>
      <w:r w:rsidRPr="00D277D9">
        <w:rPr>
          <w:szCs w:val="28"/>
          <w:vertAlign w:val="superscript"/>
        </w:rPr>
        <w:t>1</w:t>
      </w:r>
      <w:r>
        <w:rPr>
          <w:szCs w:val="28"/>
        </w:rPr>
        <w:t>.</w:t>
      </w:r>
      <w:r w:rsidRPr="00D277D9">
        <w:rPr>
          <w:szCs w:val="28"/>
        </w:rPr>
        <w:t>1</w:t>
      </w:r>
      <w:r w:rsidRPr="00455594">
        <w:rPr>
          <w:szCs w:val="28"/>
        </w:rPr>
        <w:t xml:space="preserve"> 40% apmērā no mēnešalgas, ja amatpersona nostrādājusi attiecīgajā amatā 3 un vairāk gadus;</w:t>
      </w:r>
    </w:p>
    <w:p w:rsidR="003F4912" w:rsidRDefault="003F4912" w:rsidP="00455594">
      <w:pPr>
        <w:spacing w:before="120"/>
        <w:ind w:left="1440"/>
        <w:jc w:val="both"/>
        <w:rPr>
          <w:szCs w:val="28"/>
        </w:rPr>
      </w:pPr>
      <w:r w:rsidRPr="00455594">
        <w:rPr>
          <w:szCs w:val="28"/>
        </w:rPr>
        <w:lastRenderedPageBreak/>
        <w:t>56</w:t>
      </w:r>
      <w:r w:rsidRPr="00D277D9">
        <w:rPr>
          <w:szCs w:val="28"/>
          <w:vertAlign w:val="superscript"/>
        </w:rPr>
        <w:t>1</w:t>
      </w:r>
      <w:r w:rsidRPr="00455594">
        <w:rPr>
          <w:szCs w:val="28"/>
        </w:rPr>
        <w:t>.2. 30% apmērā no mēnešalgas, ja amatpersona attiecīgajā amatā nostrādājusi 1-2 gadus.”</w:t>
      </w:r>
    </w:p>
    <w:p w:rsidR="003F4912" w:rsidRDefault="003F4912" w:rsidP="00825450">
      <w:pPr>
        <w:spacing w:before="120"/>
        <w:jc w:val="both"/>
        <w:rPr>
          <w:szCs w:val="28"/>
        </w:rPr>
      </w:pPr>
      <w:r>
        <w:rPr>
          <w:szCs w:val="28"/>
        </w:rPr>
        <w:tab/>
        <w:t xml:space="preserve">20. </w:t>
      </w:r>
      <w:r w:rsidRPr="005073B1">
        <w:rPr>
          <w:szCs w:val="28"/>
        </w:rPr>
        <w:t>Svītrot 58.punktu.</w:t>
      </w:r>
    </w:p>
    <w:p w:rsidR="003F4912" w:rsidRPr="009E47B1" w:rsidRDefault="003F4912" w:rsidP="009E47B1">
      <w:pPr>
        <w:spacing w:before="120"/>
        <w:jc w:val="both"/>
        <w:rPr>
          <w:szCs w:val="28"/>
        </w:rPr>
      </w:pPr>
      <w:r>
        <w:rPr>
          <w:szCs w:val="28"/>
        </w:rPr>
        <w:tab/>
        <w:t xml:space="preserve">21. </w:t>
      </w:r>
      <w:r w:rsidRPr="009E47B1">
        <w:rPr>
          <w:szCs w:val="28"/>
        </w:rPr>
        <w:t>Izteikt 60.punktu šādā redakcijā:</w:t>
      </w:r>
    </w:p>
    <w:p w:rsidR="003F4912" w:rsidRPr="009E47B1" w:rsidRDefault="003F4912" w:rsidP="009E47B1">
      <w:pPr>
        <w:spacing w:before="120"/>
        <w:ind w:left="720"/>
        <w:jc w:val="both"/>
        <w:rPr>
          <w:szCs w:val="28"/>
        </w:rPr>
      </w:pPr>
      <w:r w:rsidRPr="009E47B1">
        <w:rPr>
          <w:szCs w:val="28"/>
        </w:rPr>
        <w:t>„60. Naudas balvu var piešķirt amatpersonai (darbiniekam), kurš Priekules novada pašvaldībā nostrādājis ne mazāk kā desmit gadus un ja darbiniekam pēdējā darbinieku novērtēšanā noteikta vismaz 2.kvalifikācijas pakāpe, šādā apmērā:</w:t>
      </w:r>
    </w:p>
    <w:p w:rsidR="003F4912" w:rsidRPr="009E47B1" w:rsidRDefault="003F4912" w:rsidP="009E47B1">
      <w:pPr>
        <w:spacing w:before="120"/>
        <w:ind w:left="1440"/>
        <w:jc w:val="both"/>
        <w:rPr>
          <w:szCs w:val="28"/>
        </w:rPr>
      </w:pPr>
      <w:r w:rsidRPr="009E47B1">
        <w:rPr>
          <w:szCs w:val="28"/>
        </w:rPr>
        <w:t>60.1. līdz 40 % apmērā no mēnešalgas (kalendāra gada laikā) sakarā ar pašvaldībai svarīgu sasniegumu (notikumu), ņemot vērā amatpersonas (darbinieka) ieguldījumu attiecīgās institūcijas mērķu sasniegšanā;</w:t>
      </w:r>
    </w:p>
    <w:p w:rsidR="003F4912" w:rsidRDefault="003F4912" w:rsidP="009E47B1">
      <w:pPr>
        <w:spacing w:before="120"/>
        <w:ind w:left="1440"/>
        <w:jc w:val="both"/>
        <w:rPr>
          <w:szCs w:val="28"/>
        </w:rPr>
      </w:pPr>
      <w:r w:rsidRPr="009E47B1">
        <w:rPr>
          <w:szCs w:val="28"/>
        </w:rPr>
        <w:t>60.2. līdz 40 % apmērā no mēnešalgas (kalendāra gada laikā) sakarā ar darbiniekam svarīgu sasniegumu (notikumu).”</w:t>
      </w:r>
    </w:p>
    <w:p w:rsidR="003F4912" w:rsidRPr="009D3ECF" w:rsidRDefault="003F4912" w:rsidP="009D3ECF">
      <w:pPr>
        <w:spacing w:before="120"/>
        <w:jc w:val="both"/>
        <w:rPr>
          <w:szCs w:val="28"/>
        </w:rPr>
      </w:pPr>
      <w:r>
        <w:rPr>
          <w:szCs w:val="28"/>
        </w:rPr>
        <w:tab/>
        <w:t xml:space="preserve">22. </w:t>
      </w:r>
      <w:r w:rsidRPr="009D3ECF">
        <w:rPr>
          <w:szCs w:val="28"/>
        </w:rPr>
        <w:t>Izteikt 62.punktu šādā redakcijā:</w:t>
      </w:r>
    </w:p>
    <w:p w:rsidR="003F4912" w:rsidRDefault="003F4912" w:rsidP="009D3ECF">
      <w:pPr>
        <w:spacing w:before="120"/>
        <w:ind w:left="720"/>
        <w:jc w:val="both"/>
        <w:rPr>
          <w:szCs w:val="28"/>
        </w:rPr>
      </w:pPr>
      <w:r w:rsidRPr="009D3ECF">
        <w:rPr>
          <w:szCs w:val="28"/>
        </w:rPr>
        <w:t>„62. Darbiniekam svarīgi sasniegumi (notikumi) šī Nolikuma izpratnē ir</w:t>
      </w:r>
      <w:r>
        <w:rPr>
          <w:szCs w:val="28"/>
        </w:rPr>
        <w:t>:</w:t>
      </w:r>
    </w:p>
    <w:p w:rsidR="003F4912" w:rsidRDefault="003F4912" w:rsidP="00043A6E">
      <w:pPr>
        <w:spacing w:before="120"/>
        <w:ind w:left="720" w:firstLine="720"/>
        <w:jc w:val="both"/>
        <w:rPr>
          <w:szCs w:val="28"/>
        </w:rPr>
      </w:pPr>
      <w:r>
        <w:rPr>
          <w:szCs w:val="28"/>
        </w:rPr>
        <w:t>62.1.</w:t>
      </w:r>
      <w:r w:rsidRPr="009D3ECF">
        <w:rPr>
          <w:szCs w:val="28"/>
        </w:rPr>
        <w:t xml:space="preserve"> valsts institūcijas vai pašvaldības apbalvojuma saņemšana</w:t>
      </w:r>
      <w:r>
        <w:rPr>
          <w:szCs w:val="28"/>
        </w:rPr>
        <w:t>;</w:t>
      </w:r>
    </w:p>
    <w:p w:rsidR="003F4912" w:rsidRDefault="003F4912" w:rsidP="00043A6E">
      <w:pPr>
        <w:spacing w:before="120"/>
        <w:ind w:left="720" w:firstLine="720"/>
        <w:jc w:val="both"/>
        <w:rPr>
          <w:szCs w:val="28"/>
        </w:rPr>
      </w:pPr>
      <w:r>
        <w:rPr>
          <w:szCs w:val="28"/>
        </w:rPr>
        <w:t>62.2.</w:t>
      </w:r>
      <w:r w:rsidRPr="009D3ECF">
        <w:rPr>
          <w:szCs w:val="28"/>
        </w:rPr>
        <w:t xml:space="preserve"> darba attiecību pārtraukšana, darbiniekam aizejot pensijā.”</w:t>
      </w:r>
    </w:p>
    <w:p w:rsidR="003F4912" w:rsidRDefault="003F4912" w:rsidP="009D3ECF">
      <w:pPr>
        <w:spacing w:before="120"/>
        <w:ind w:left="720"/>
        <w:jc w:val="both"/>
        <w:rPr>
          <w:szCs w:val="28"/>
        </w:rPr>
      </w:pPr>
      <w:r>
        <w:rPr>
          <w:szCs w:val="28"/>
        </w:rPr>
        <w:t xml:space="preserve">23. </w:t>
      </w:r>
      <w:r w:rsidRPr="00156091">
        <w:rPr>
          <w:szCs w:val="28"/>
        </w:rPr>
        <w:t xml:space="preserve">Aizstāt 64.punktā skaitli un apzīmējumu „150,00 LVL” ar skaitli un vārdu „213,43 </w:t>
      </w:r>
      <w:proofErr w:type="spellStart"/>
      <w:r w:rsidRPr="00156091">
        <w:rPr>
          <w:i/>
          <w:szCs w:val="28"/>
        </w:rPr>
        <w:t>euro</w:t>
      </w:r>
      <w:proofErr w:type="spellEnd"/>
      <w:r w:rsidRPr="00156091">
        <w:rPr>
          <w:szCs w:val="28"/>
        </w:rPr>
        <w:t>”.</w:t>
      </w:r>
    </w:p>
    <w:p w:rsidR="003F4912" w:rsidRPr="00672AF3" w:rsidRDefault="003F4912" w:rsidP="00672AF3">
      <w:pPr>
        <w:spacing w:before="120"/>
        <w:ind w:left="720"/>
        <w:jc w:val="both"/>
        <w:rPr>
          <w:szCs w:val="28"/>
        </w:rPr>
      </w:pPr>
      <w:r>
        <w:rPr>
          <w:szCs w:val="28"/>
        </w:rPr>
        <w:t xml:space="preserve">24. </w:t>
      </w:r>
      <w:r w:rsidRPr="00672AF3">
        <w:rPr>
          <w:szCs w:val="28"/>
        </w:rPr>
        <w:t>Izteikt 65.punktu šādā redakcijā:</w:t>
      </w:r>
    </w:p>
    <w:p w:rsidR="003F4912" w:rsidRDefault="003F4912" w:rsidP="00672AF3">
      <w:pPr>
        <w:spacing w:before="120"/>
        <w:ind w:left="720"/>
        <w:jc w:val="both"/>
        <w:rPr>
          <w:szCs w:val="28"/>
        </w:rPr>
      </w:pPr>
      <w:r w:rsidRPr="00672AF3">
        <w:rPr>
          <w:szCs w:val="28"/>
        </w:rPr>
        <w:t>„65. Amatpersonas (darbinieka) nāves gadījumā uz izpilddirektora rīkojuma pamata ģimenes loceklim vai personai, kura uzņēmusies amatpersonas (darbinieka) apbedīšanu, tiek izmaksāts vienreizējs pabalsts darbiniekam noteiktās mēnešalgas apmērā atbilstoši LR Ministru kabineta noteiktajai kārtībai.”</w:t>
      </w:r>
    </w:p>
    <w:p w:rsidR="003F4912" w:rsidRPr="002C6E70" w:rsidRDefault="003F4912" w:rsidP="002C6E70">
      <w:pPr>
        <w:spacing w:before="120"/>
        <w:ind w:left="720"/>
        <w:jc w:val="both"/>
        <w:rPr>
          <w:szCs w:val="28"/>
        </w:rPr>
      </w:pPr>
      <w:r>
        <w:rPr>
          <w:szCs w:val="28"/>
        </w:rPr>
        <w:t xml:space="preserve">25. </w:t>
      </w:r>
      <w:r w:rsidRPr="002C6E70">
        <w:rPr>
          <w:szCs w:val="28"/>
        </w:rPr>
        <w:t>Izteikt 67.punktu šādā redakcijā:</w:t>
      </w:r>
    </w:p>
    <w:p w:rsidR="003F4912" w:rsidRPr="002C6E70" w:rsidRDefault="003F4912" w:rsidP="002C6E70">
      <w:pPr>
        <w:spacing w:before="120"/>
        <w:ind w:left="720"/>
        <w:jc w:val="both"/>
        <w:rPr>
          <w:szCs w:val="28"/>
        </w:rPr>
      </w:pPr>
      <w:r w:rsidRPr="002C6E70">
        <w:rPr>
          <w:szCs w:val="28"/>
        </w:rPr>
        <w:t xml:space="preserve">„67. Uz izpilddirektora rīkojuma pamata amatpersonai (darbiniekam) tiek izmaksāts atvaļinājuma pabalsts līdz 40 % apmērā no mēnešalgas vienu reizi kalendāra gadā, aizejot ikgadējā apmaksātajā atvaļinājumā atbilstoši darbinieku novērtēšanas rezultātā noteiktajām kvalifikācijas pakāpēm: </w:t>
      </w:r>
    </w:p>
    <w:p w:rsidR="003F4912" w:rsidRPr="002C6E70" w:rsidRDefault="003F4912" w:rsidP="002C6E70">
      <w:pPr>
        <w:spacing w:before="120"/>
        <w:ind w:left="720" w:firstLine="720"/>
        <w:jc w:val="both"/>
        <w:rPr>
          <w:szCs w:val="28"/>
        </w:rPr>
      </w:pPr>
      <w:r w:rsidRPr="002C6E70">
        <w:rPr>
          <w:szCs w:val="28"/>
        </w:rPr>
        <w:t>67.1. maksimālā pakāpe – 40 % apmērā no mēnešalgas;</w:t>
      </w:r>
    </w:p>
    <w:p w:rsidR="003F4912" w:rsidRPr="002C6E70" w:rsidRDefault="003F4912" w:rsidP="002C6E70">
      <w:pPr>
        <w:spacing w:before="120"/>
        <w:ind w:left="720" w:firstLine="720"/>
        <w:jc w:val="both"/>
        <w:rPr>
          <w:szCs w:val="28"/>
        </w:rPr>
      </w:pPr>
      <w:r w:rsidRPr="002C6E70">
        <w:rPr>
          <w:szCs w:val="28"/>
        </w:rPr>
        <w:t>67.2. 3.kvalifikācijas pakāpe – 30 % apmērā no mēnešalgas;</w:t>
      </w:r>
    </w:p>
    <w:p w:rsidR="003F4912" w:rsidRPr="002C6E70" w:rsidRDefault="003F4912" w:rsidP="002C6E70">
      <w:pPr>
        <w:spacing w:before="120"/>
        <w:ind w:left="720" w:firstLine="720"/>
        <w:jc w:val="both"/>
        <w:rPr>
          <w:szCs w:val="28"/>
        </w:rPr>
      </w:pPr>
      <w:r w:rsidRPr="002C6E70">
        <w:rPr>
          <w:szCs w:val="28"/>
        </w:rPr>
        <w:t>67.3. 2.kvalifikācijas pakāpe – 20 % apmērā no mēnešalgas;</w:t>
      </w:r>
    </w:p>
    <w:p w:rsidR="003F4912" w:rsidRPr="002C6E70" w:rsidRDefault="003F4912" w:rsidP="002C6E70">
      <w:pPr>
        <w:spacing w:before="120"/>
        <w:ind w:left="720" w:firstLine="720"/>
        <w:jc w:val="both"/>
        <w:rPr>
          <w:szCs w:val="28"/>
        </w:rPr>
      </w:pPr>
      <w:r w:rsidRPr="002C6E70">
        <w:rPr>
          <w:szCs w:val="28"/>
        </w:rPr>
        <w:t>67.4.  1.kvalifikācijas pakāpe – 15% apmērā no mēnešalgas;</w:t>
      </w:r>
    </w:p>
    <w:p w:rsidR="003F4912" w:rsidRDefault="003F4912" w:rsidP="002C6E70">
      <w:pPr>
        <w:spacing w:before="120"/>
        <w:ind w:left="720" w:firstLine="720"/>
        <w:jc w:val="both"/>
        <w:rPr>
          <w:szCs w:val="28"/>
        </w:rPr>
      </w:pPr>
      <w:r w:rsidRPr="002C6E70">
        <w:rPr>
          <w:szCs w:val="28"/>
        </w:rPr>
        <w:t>67.5. minimālā pakāpe – 10% apmērā no mēnešalgas.”</w:t>
      </w:r>
    </w:p>
    <w:p w:rsidR="003F4912" w:rsidRPr="00043A6E" w:rsidRDefault="003F4912" w:rsidP="00043A6E">
      <w:pPr>
        <w:spacing w:before="120"/>
        <w:jc w:val="both"/>
        <w:rPr>
          <w:szCs w:val="28"/>
        </w:rPr>
      </w:pPr>
      <w:r>
        <w:rPr>
          <w:szCs w:val="28"/>
        </w:rPr>
        <w:tab/>
        <w:t xml:space="preserve">26. </w:t>
      </w:r>
      <w:r w:rsidRPr="00043A6E">
        <w:rPr>
          <w:szCs w:val="28"/>
        </w:rPr>
        <w:t>Papildināt nolikumu ar 67.</w:t>
      </w:r>
      <w:r w:rsidRPr="007B2CAA">
        <w:rPr>
          <w:szCs w:val="28"/>
          <w:vertAlign w:val="superscript"/>
        </w:rPr>
        <w:t>1</w:t>
      </w:r>
      <w:r w:rsidRPr="00043A6E">
        <w:rPr>
          <w:szCs w:val="28"/>
        </w:rPr>
        <w:t>punktu šādā redakcijā:</w:t>
      </w:r>
    </w:p>
    <w:p w:rsidR="003F4912" w:rsidRPr="00043A6E" w:rsidRDefault="003F4912" w:rsidP="00043A6E">
      <w:pPr>
        <w:spacing w:before="120"/>
        <w:ind w:left="720"/>
        <w:jc w:val="both"/>
        <w:rPr>
          <w:szCs w:val="28"/>
        </w:rPr>
      </w:pPr>
      <w:r w:rsidRPr="00043A6E">
        <w:rPr>
          <w:szCs w:val="28"/>
        </w:rPr>
        <w:t>„67.</w:t>
      </w:r>
      <w:r w:rsidRPr="007B2CAA">
        <w:rPr>
          <w:szCs w:val="28"/>
          <w:vertAlign w:val="superscript"/>
        </w:rPr>
        <w:t>1</w:t>
      </w:r>
      <w:r w:rsidRPr="00043A6E">
        <w:rPr>
          <w:szCs w:val="28"/>
        </w:rPr>
        <w:t xml:space="preserve"> Uz Domes priekšsēdētāja rīkojuma pamata izpilddirektoram atvaļinājuma pabalsts līdz 40% apmērā no mēnešalgas vienu reizi kalendāra tiek izmaksāts, aizejot ikgadējā atvaļinājumā, ņemot vērā viņa profesionālo pieredzi ieņemamajā amatā:</w:t>
      </w:r>
    </w:p>
    <w:p w:rsidR="003F4912" w:rsidRPr="00043A6E" w:rsidRDefault="003F4912" w:rsidP="00043A6E">
      <w:pPr>
        <w:spacing w:before="120"/>
        <w:ind w:left="1440"/>
        <w:jc w:val="both"/>
        <w:rPr>
          <w:szCs w:val="28"/>
        </w:rPr>
      </w:pPr>
      <w:r w:rsidRPr="00043A6E">
        <w:rPr>
          <w:szCs w:val="28"/>
        </w:rPr>
        <w:t>67</w:t>
      </w:r>
      <w:r w:rsidRPr="00043A6E">
        <w:rPr>
          <w:szCs w:val="28"/>
          <w:vertAlign w:val="superscript"/>
        </w:rPr>
        <w:t>1</w:t>
      </w:r>
      <w:r w:rsidRPr="00043A6E">
        <w:rPr>
          <w:szCs w:val="28"/>
        </w:rPr>
        <w:t>.1. 40% apmērā no mēnešalgas, ja amatpersona nostrādājusi attiecīgajā amatā 3 un vairāk gadus;</w:t>
      </w:r>
    </w:p>
    <w:p w:rsidR="003F4912" w:rsidRDefault="003F4912" w:rsidP="00043A6E">
      <w:pPr>
        <w:spacing w:before="120"/>
        <w:ind w:left="1440"/>
        <w:jc w:val="both"/>
        <w:rPr>
          <w:szCs w:val="28"/>
        </w:rPr>
      </w:pPr>
      <w:r w:rsidRPr="00043A6E">
        <w:rPr>
          <w:szCs w:val="28"/>
        </w:rPr>
        <w:t>67</w:t>
      </w:r>
      <w:r w:rsidRPr="00043A6E">
        <w:rPr>
          <w:szCs w:val="28"/>
          <w:vertAlign w:val="superscript"/>
        </w:rPr>
        <w:t>1</w:t>
      </w:r>
      <w:r w:rsidRPr="00043A6E">
        <w:rPr>
          <w:szCs w:val="28"/>
        </w:rPr>
        <w:t>.2. 20% apmērā no mēnešalgas, ja amatpersona attiecīgajā amatā nostrādājusi 1-2 gadus.”</w:t>
      </w:r>
    </w:p>
    <w:p w:rsidR="003F4912" w:rsidRPr="00540078" w:rsidRDefault="003F4912" w:rsidP="00540078">
      <w:pPr>
        <w:spacing w:before="120"/>
        <w:jc w:val="both"/>
        <w:rPr>
          <w:szCs w:val="28"/>
        </w:rPr>
      </w:pPr>
      <w:r>
        <w:rPr>
          <w:szCs w:val="28"/>
        </w:rPr>
        <w:tab/>
        <w:t xml:space="preserve">27. </w:t>
      </w:r>
      <w:r w:rsidRPr="00540078">
        <w:rPr>
          <w:szCs w:val="28"/>
        </w:rPr>
        <w:t>Izteikt 68.punktu šādā redakcijā:</w:t>
      </w:r>
    </w:p>
    <w:p w:rsidR="003F4912" w:rsidRPr="00540078" w:rsidRDefault="003F4912" w:rsidP="00540078">
      <w:pPr>
        <w:spacing w:before="120"/>
        <w:ind w:left="720"/>
        <w:jc w:val="both"/>
        <w:rPr>
          <w:szCs w:val="28"/>
        </w:rPr>
      </w:pPr>
      <w:r w:rsidRPr="00540078">
        <w:rPr>
          <w:szCs w:val="28"/>
        </w:rPr>
        <w:lastRenderedPageBreak/>
        <w:t>„68. Uz Domes lēmuma pamata Domes priekšsēdētājam un Domes priekšsēdētāja vietniekam atvaļinājuma pabalsts tiek izmaksāts līdz 40 % apmērā no mēnešalgas vienu reizi kalendārā gadā, aizejot ikgadējā atvaļinājumā, ņemot vērā amatpersonas profesionālo pieredzi ieņemamajā amatā:</w:t>
      </w:r>
    </w:p>
    <w:p w:rsidR="003F4912" w:rsidRPr="00540078" w:rsidRDefault="003F4912" w:rsidP="00540078">
      <w:pPr>
        <w:spacing w:before="120"/>
        <w:ind w:left="1440"/>
        <w:jc w:val="both"/>
        <w:rPr>
          <w:szCs w:val="28"/>
        </w:rPr>
      </w:pPr>
      <w:r w:rsidRPr="00540078">
        <w:rPr>
          <w:szCs w:val="28"/>
        </w:rPr>
        <w:t>68.1. 40% apmērā no mēnešalgas, ja amatpersona nostrādājusi attiecīgajā amatā 3 un vairāk gadus;</w:t>
      </w:r>
    </w:p>
    <w:p w:rsidR="003F4912" w:rsidRDefault="003F4912" w:rsidP="00540078">
      <w:pPr>
        <w:spacing w:before="120"/>
        <w:ind w:left="1440"/>
        <w:jc w:val="both"/>
        <w:rPr>
          <w:szCs w:val="28"/>
        </w:rPr>
      </w:pPr>
      <w:r w:rsidRPr="00540078">
        <w:rPr>
          <w:szCs w:val="28"/>
        </w:rPr>
        <w:t>68.2. 20% apmērā no mēnešalgas, ja amatpersona attiecīgajā amatā nostrādājusi 1-2 gadus.”</w:t>
      </w:r>
    </w:p>
    <w:p w:rsidR="003F4912" w:rsidRPr="00540078" w:rsidRDefault="003F4912" w:rsidP="00540078">
      <w:pPr>
        <w:spacing w:before="120"/>
        <w:jc w:val="both"/>
        <w:rPr>
          <w:szCs w:val="28"/>
        </w:rPr>
      </w:pPr>
      <w:r>
        <w:rPr>
          <w:szCs w:val="28"/>
        </w:rPr>
        <w:tab/>
        <w:t xml:space="preserve">28. </w:t>
      </w:r>
      <w:r w:rsidRPr="00540078">
        <w:rPr>
          <w:szCs w:val="28"/>
        </w:rPr>
        <w:t>Izteikt 70.punktu šādā redakcijā:</w:t>
      </w:r>
    </w:p>
    <w:p w:rsidR="003F4912" w:rsidRDefault="003F4912" w:rsidP="00540078">
      <w:pPr>
        <w:spacing w:before="120"/>
        <w:ind w:left="720"/>
        <w:jc w:val="both"/>
        <w:rPr>
          <w:szCs w:val="28"/>
        </w:rPr>
      </w:pPr>
      <w:r w:rsidRPr="00540078">
        <w:rPr>
          <w:szCs w:val="28"/>
        </w:rPr>
        <w:t>„70. Darbiniekiem, izņemot Domes priekšsēdētāju un Domes priekšsēdētāja vietnieku, ar kurām tiek izbeigtas darba attiecības sakarā ar institūcijas vai amata likvidāciju, darbinieku skaita samazināšanu, darbam noteiktajām prasībām neatbilstošu veselības stāvokli (ieskaitot pārejošu darbnespēju), kā arī gadījumā, kad tiek atjaunots darbā darbinieks, kurš iepriekš veica attiecīgos darba pienākumus, atlaišanas pabalstu izmaksā LR normatīvajos aktos noteiktajos apmēros un kārtībā.”</w:t>
      </w:r>
    </w:p>
    <w:p w:rsidR="003F4912" w:rsidRDefault="003F4912" w:rsidP="00540078">
      <w:pPr>
        <w:spacing w:before="120"/>
        <w:ind w:left="720"/>
        <w:jc w:val="both"/>
        <w:rPr>
          <w:szCs w:val="28"/>
        </w:rPr>
      </w:pPr>
      <w:r>
        <w:rPr>
          <w:szCs w:val="28"/>
        </w:rPr>
        <w:t xml:space="preserve">29. </w:t>
      </w:r>
      <w:r w:rsidRPr="00836AB3">
        <w:rPr>
          <w:szCs w:val="28"/>
        </w:rPr>
        <w:t>Svītrot 73.punktu.</w:t>
      </w:r>
    </w:p>
    <w:p w:rsidR="003F4912" w:rsidRPr="00836AB3" w:rsidRDefault="003F4912" w:rsidP="00836AB3">
      <w:pPr>
        <w:spacing w:before="120"/>
        <w:ind w:left="720"/>
        <w:jc w:val="both"/>
        <w:rPr>
          <w:szCs w:val="28"/>
        </w:rPr>
      </w:pPr>
      <w:r>
        <w:rPr>
          <w:szCs w:val="28"/>
        </w:rPr>
        <w:t xml:space="preserve">30. </w:t>
      </w:r>
      <w:r w:rsidRPr="00836AB3">
        <w:rPr>
          <w:szCs w:val="28"/>
        </w:rPr>
        <w:t>Izteikt 75.punktu šādā redakcijā:</w:t>
      </w:r>
    </w:p>
    <w:p w:rsidR="003F4912" w:rsidRDefault="003F4912" w:rsidP="00836AB3">
      <w:pPr>
        <w:spacing w:before="120"/>
        <w:ind w:left="720"/>
        <w:jc w:val="both"/>
        <w:rPr>
          <w:szCs w:val="28"/>
        </w:rPr>
      </w:pPr>
      <w:r w:rsidRPr="00836AB3">
        <w:rPr>
          <w:szCs w:val="28"/>
        </w:rPr>
        <w:t>„75. Uz izpilddirektora rīkojuma pamata darbiniekam kompensē redzes pārbaudes un briļļu iegādes izdevumus, ja tās nepieciešamas darbiniekam darba pienākumu veikšanai strādāšanai pie displeja atbilstoši normatīvajos aktos noteiktajai kārtībai. Šie izdevumi tiek kompensēti tikai gadījumos, kad darbiniekam veselības pārbaudes kartē ir ieraksts, ka darbiniekam nepieciešami darba pienākumu veikšanai piemēroti speciāli medicīniski optiski redzes korekcijas līdzekļi (brilles).”</w:t>
      </w:r>
    </w:p>
    <w:p w:rsidR="003F4912" w:rsidRPr="00836AB3" w:rsidRDefault="003F4912" w:rsidP="00836AB3">
      <w:pPr>
        <w:spacing w:before="120"/>
        <w:ind w:left="720"/>
        <w:jc w:val="both"/>
        <w:rPr>
          <w:szCs w:val="28"/>
        </w:rPr>
      </w:pPr>
      <w:r>
        <w:rPr>
          <w:szCs w:val="28"/>
        </w:rPr>
        <w:t xml:space="preserve">31. </w:t>
      </w:r>
      <w:r w:rsidRPr="00836AB3">
        <w:rPr>
          <w:szCs w:val="28"/>
        </w:rPr>
        <w:t>Izteikt 76.punktu šādā redakcijā:</w:t>
      </w:r>
    </w:p>
    <w:p w:rsidR="003F4912" w:rsidRDefault="003F4912" w:rsidP="00836AB3">
      <w:pPr>
        <w:spacing w:before="120"/>
        <w:ind w:left="720"/>
        <w:jc w:val="both"/>
        <w:rPr>
          <w:szCs w:val="28"/>
        </w:rPr>
      </w:pPr>
      <w:r w:rsidRPr="00836AB3">
        <w:rPr>
          <w:szCs w:val="28"/>
        </w:rPr>
        <w:t>„76. Darbiniekam, kurš strādā attiecīgajā amatā pilnu darba laiku, šī Nolikuma 75.punktā minētos izdevumus kompensē līdz EUR 115,00 apmērā vienu reizi trijos gados.”</w:t>
      </w:r>
    </w:p>
    <w:p w:rsidR="003F4912" w:rsidRDefault="003F4912" w:rsidP="00836AB3">
      <w:pPr>
        <w:spacing w:before="120"/>
        <w:ind w:left="720"/>
        <w:jc w:val="both"/>
        <w:rPr>
          <w:szCs w:val="28"/>
        </w:rPr>
      </w:pPr>
      <w:r>
        <w:rPr>
          <w:szCs w:val="28"/>
        </w:rPr>
        <w:t xml:space="preserve">32. </w:t>
      </w:r>
      <w:r w:rsidRPr="00836AB3">
        <w:rPr>
          <w:szCs w:val="28"/>
        </w:rPr>
        <w:t>Svītrot 81.punktu.</w:t>
      </w:r>
    </w:p>
    <w:p w:rsidR="003F4912" w:rsidRPr="00836AB3" w:rsidRDefault="003F4912" w:rsidP="00836AB3">
      <w:pPr>
        <w:spacing w:before="120"/>
        <w:ind w:left="720"/>
        <w:jc w:val="both"/>
        <w:rPr>
          <w:szCs w:val="28"/>
        </w:rPr>
      </w:pPr>
      <w:r>
        <w:rPr>
          <w:szCs w:val="28"/>
        </w:rPr>
        <w:t xml:space="preserve">33. </w:t>
      </w:r>
      <w:r w:rsidRPr="00836AB3">
        <w:rPr>
          <w:szCs w:val="28"/>
        </w:rPr>
        <w:t>Papildināt nolikumu ar 86.punktu šādā redakcijā:</w:t>
      </w:r>
    </w:p>
    <w:p w:rsidR="003F4912" w:rsidRDefault="003F4912" w:rsidP="00836AB3">
      <w:pPr>
        <w:spacing w:before="120"/>
        <w:ind w:left="720"/>
        <w:jc w:val="both"/>
        <w:rPr>
          <w:szCs w:val="28"/>
        </w:rPr>
      </w:pPr>
      <w:r w:rsidRPr="00836AB3">
        <w:rPr>
          <w:szCs w:val="28"/>
        </w:rPr>
        <w:t>„86. Grozījumi Nolikumā stājas spēkā ar 2014.gada 1.janvāri.”</w:t>
      </w:r>
    </w:p>
    <w:p w:rsidR="003F4912" w:rsidRPr="00687724" w:rsidRDefault="003F4912" w:rsidP="00836AB3">
      <w:pPr>
        <w:spacing w:before="120"/>
        <w:ind w:left="720"/>
        <w:jc w:val="both"/>
      </w:pPr>
      <w:r>
        <w:rPr>
          <w:szCs w:val="28"/>
        </w:rPr>
        <w:t xml:space="preserve">34. </w:t>
      </w:r>
      <w:r w:rsidRPr="005D3CAA">
        <w:rPr>
          <w:szCs w:val="28"/>
        </w:rPr>
        <w:t>Svītrot pielikuma numuru Nolikuma 1.pielikumam un izteikt Nolikuma pielikumu jaunā redakcijā.</w:t>
      </w:r>
    </w:p>
    <w:p w:rsidR="003F4912" w:rsidRPr="00275C58" w:rsidRDefault="003F4912" w:rsidP="00275C58">
      <w:pPr>
        <w:jc w:val="both"/>
      </w:pPr>
    </w:p>
    <w:p w:rsidR="003F4912" w:rsidRDefault="003F4912" w:rsidP="00275C58">
      <w:pPr>
        <w:jc w:val="both"/>
      </w:pPr>
      <w:r>
        <w:tab/>
      </w:r>
    </w:p>
    <w:p w:rsidR="003F4912" w:rsidRDefault="003F4912" w:rsidP="00AB34A7">
      <w:pPr>
        <w:spacing w:line="276" w:lineRule="auto"/>
        <w:jc w:val="right"/>
      </w:pPr>
    </w:p>
    <w:p w:rsidR="003F4912" w:rsidRDefault="003F4912" w:rsidP="00274E6D">
      <w:pPr>
        <w:tabs>
          <w:tab w:val="left" w:pos="810"/>
        </w:tabs>
        <w:spacing w:line="276" w:lineRule="auto"/>
      </w:pPr>
      <w:r>
        <w:tab/>
        <w:t>Domes priekšsēdētāja</w:t>
      </w:r>
      <w:r>
        <w:tab/>
      </w:r>
      <w:r>
        <w:tab/>
      </w:r>
      <w:r>
        <w:tab/>
      </w:r>
      <w:r>
        <w:tab/>
      </w:r>
      <w:r>
        <w:tab/>
      </w:r>
      <w:proofErr w:type="spellStart"/>
      <w:r>
        <w:t>V.Jablonska</w:t>
      </w:r>
      <w:proofErr w:type="spellEnd"/>
    </w:p>
    <w:p w:rsidR="003F4912" w:rsidRPr="00AB34A7" w:rsidRDefault="003F4912" w:rsidP="00AB34A7">
      <w:pPr>
        <w:spacing w:line="276" w:lineRule="auto"/>
        <w:jc w:val="right"/>
        <w:rPr>
          <w:sz w:val="22"/>
          <w:szCs w:val="22"/>
        </w:rPr>
      </w:pPr>
      <w:r w:rsidRPr="00274E6D">
        <w:br w:type="page"/>
      </w:r>
      <w:r w:rsidRPr="00AB34A7">
        <w:rPr>
          <w:sz w:val="22"/>
          <w:szCs w:val="22"/>
        </w:rPr>
        <w:lastRenderedPageBreak/>
        <w:t>Pielikums</w:t>
      </w:r>
    </w:p>
    <w:p w:rsidR="003F4912" w:rsidRPr="00AB34A7" w:rsidRDefault="003F4912" w:rsidP="00AB34A7">
      <w:pPr>
        <w:spacing w:line="276" w:lineRule="auto"/>
        <w:jc w:val="right"/>
        <w:rPr>
          <w:sz w:val="22"/>
          <w:szCs w:val="22"/>
        </w:rPr>
      </w:pPr>
      <w:r w:rsidRPr="00AB34A7">
        <w:rPr>
          <w:sz w:val="22"/>
          <w:szCs w:val="22"/>
        </w:rPr>
        <w:t>pie Priekules novada pašvaldības institūciju</w:t>
      </w:r>
    </w:p>
    <w:p w:rsidR="003F4912" w:rsidRDefault="003F4912" w:rsidP="00AB34A7">
      <w:pPr>
        <w:jc w:val="right"/>
        <w:rPr>
          <w:bCs/>
          <w:sz w:val="22"/>
          <w:szCs w:val="22"/>
        </w:rPr>
      </w:pPr>
      <w:r w:rsidRPr="00AB34A7">
        <w:rPr>
          <w:sz w:val="22"/>
          <w:szCs w:val="22"/>
        </w:rPr>
        <w:t xml:space="preserve">amatpersonu un darbinieku </w:t>
      </w:r>
      <w:r w:rsidRPr="00AB34A7">
        <w:rPr>
          <w:bCs/>
          <w:sz w:val="22"/>
          <w:szCs w:val="22"/>
        </w:rPr>
        <w:t>atlīdzības nolikuma</w:t>
      </w:r>
    </w:p>
    <w:p w:rsidR="003F4912" w:rsidRPr="00AB34A7" w:rsidRDefault="003F4912" w:rsidP="00AB34A7">
      <w:pPr>
        <w:jc w:val="right"/>
        <w:rPr>
          <w:bCs/>
          <w:sz w:val="22"/>
          <w:szCs w:val="22"/>
        </w:rPr>
      </w:pPr>
    </w:p>
    <w:p w:rsidR="003F4912" w:rsidRPr="00A450F4" w:rsidRDefault="003F4912" w:rsidP="00A450F4">
      <w:pPr>
        <w:jc w:val="center"/>
        <w:rPr>
          <w:sz w:val="28"/>
          <w:szCs w:val="28"/>
        </w:rPr>
      </w:pPr>
      <w:r w:rsidRPr="00A450F4">
        <w:rPr>
          <w:bCs/>
        </w:rPr>
        <w:br/>
      </w:r>
      <w:r w:rsidRPr="00A450F4">
        <w:rPr>
          <w:b/>
          <w:bCs/>
          <w:color w:val="000000"/>
          <w:sz w:val="28"/>
          <w:szCs w:val="28"/>
        </w:rPr>
        <w:t>Mēnešalgu apmēri pašvaldībā</w:t>
      </w:r>
    </w:p>
    <w:p w:rsidR="003F4912" w:rsidRDefault="003F4912" w:rsidP="00275C58">
      <w:pPr>
        <w:jc w:val="both"/>
      </w:pPr>
    </w:p>
    <w:tbl>
      <w:tblPr>
        <w:tblW w:w="7740" w:type="dxa"/>
        <w:tblInd w:w="98" w:type="dxa"/>
        <w:tblLook w:val="00A0" w:firstRow="1" w:lastRow="0" w:firstColumn="1" w:lastColumn="0" w:noHBand="0" w:noVBand="0"/>
      </w:tblPr>
      <w:tblGrid>
        <w:gridCol w:w="960"/>
        <w:gridCol w:w="1700"/>
        <w:gridCol w:w="960"/>
        <w:gridCol w:w="960"/>
        <w:gridCol w:w="960"/>
        <w:gridCol w:w="960"/>
        <w:gridCol w:w="1416"/>
      </w:tblGrid>
      <w:tr w:rsidR="003F4912" w:rsidRPr="00A450F4" w:rsidTr="00AE7581">
        <w:trPr>
          <w:trHeight w:val="330"/>
        </w:trPr>
        <w:tc>
          <w:tcPr>
            <w:tcW w:w="960"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3F4912" w:rsidRPr="00A450F4" w:rsidRDefault="003F4912" w:rsidP="00A450F4">
            <w:pPr>
              <w:jc w:val="center"/>
              <w:rPr>
                <w:b/>
                <w:bCs/>
                <w:color w:val="000000"/>
              </w:rPr>
            </w:pPr>
            <w:r w:rsidRPr="00A450F4">
              <w:rPr>
                <w:b/>
                <w:bCs/>
                <w:color w:val="000000"/>
              </w:rPr>
              <w:t>Mēnešalgu grupa</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tcPr>
          <w:p w:rsidR="003F4912" w:rsidRPr="00A450F4" w:rsidRDefault="003F4912" w:rsidP="00B35810">
            <w:pPr>
              <w:jc w:val="center"/>
              <w:rPr>
                <w:b/>
                <w:bCs/>
                <w:color w:val="000000"/>
              </w:rPr>
            </w:pPr>
            <w:r>
              <w:rPr>
                <w:b/>
                <w:bCs/>
                <w:color w:val="000000"/>
              </w:rPr>
              <w:t>M</w:t>
            </w:r>
            <w:r w:rsidRPr="00A450F4">
              <w:rPr>
                <w:b/>
                <w:bCs/>
                <w:color w:val="000000"/>
              </w:rPr>
              <w:t xml:space="preserve">ēnešalgas apmēri pašvaldībā </w:t>
            </w:r>
            <w:r>
              <w:rPr>
                <w:b/>
                <w:bCs/>
                <w:color w:val="000000"/>
              </w:rPr>
              <w:t xml:space="preserve">% </w:t>
            </w:r>
            <w:r w:rsidRPr="00A450F4">
              <w:rPr>
                <w:b/>
                <w:bCs/>
                <w:color w:val="000000"/>
              </w:rPr>
              <w:t xml:space="preserve">no </w:t>
            </w:r>
            <w:proofErr w:type="spellStart"/>
            <w:r w:rsidRPr="00A450F4">
              <w:rPr>
                <w:b/>
                <w:bCs/>
                <w:color w:val="000000"/>
              </w:rPr>
              <w:t>norm</w:t>
            </w:r>
            <w:r>
              <w:rPr>
                <w:b/>
                <w:bCs/>
                <w:color w:val="000000"/>
              </w:rPr>
              <w:t>at</w:t>
            </w:r>
            <w:proofErr w:type="spellEnd"/>
            <w:r>
              <w:rPr>
                <w:b/>
                <w:bCs/>
                <w:color w:val="000000"/>
              </w:rPr>
              <w:t>.</w:t>
            </w:r>
            <w:r w:rsidRPr="00A450F4">
              <w:rPr>
                <w:b/>
                <w:bCs/>
                <w:color w:val="000000"/>
              </w:rPr>
              <w:t xml:space="preserve"> aktos </w:t>
            </w:r>
            <w:proofErr w:type="spellStart"/>
            <w:r>
              <w:rPr>
                <w:b/>
                <w:bCs/>
                <w:color w:val="000000"/>
              </w:rPr>
              <w:t>max</w:t>
            </w:r>
            <w:proofErr w:type="spellEnd"/>
            <w:r>
              <w:rPr>
                <w:b/>
                <w:bCs/>
                <w:color w:val="000000"/>
              </w:rPr>
              <w:t xml:space="preserve"> pieļaujamā mēnešalgu apmēra</w:t>
            </w:r>
            <w:r w:rsidRPr="00A450F4">
              <w:rPr>
                <w:b/>
                <w:bCs/>
                <w:color w:val="000000"/>
              </w:rPr>
              <w:t xml:space="preserve"> </w:t>
            </w:r>
          </w:p>
        </w:tc>
        <w:tc>
          <w:tcPr>
            <w:tcW w:w="3840" w:type="dxa"/>
            <w:gridSpan w:val="4"/>
            <w:tcBorders>
              <w:top w:val="single" w:sz="8" w:space="0" w:color="auto"/>
              <w:left w:val="nil"/>
              <w:bottom w:val="single" w:sz="8" w:space="0" w:color="auto"/>
              <w:right w:val="single" w:sz="8" w:space="0" w:color="000000"/>
            </w:tcBorders>
            <w:shd w:val="clear" w:color="000000" w:fill="FFFFFF"/>
            <w:vAlign w:val="center"/>
          </w:tcPr>
          <w:p w:rsidR="003F4912" w:rsidRPr="00A450F4" w:rsidRDefault="003F4912" w:rsidP="00A450F4">
            <w:pPr>
              <w:jc w:val="center"/>
              <w:rPr>
                <w:b/>
                <w:bCs/>
                <w:color w:val="000000"/>
              </w:rPr>
            </w:pPr>
            <w:r>
              <w:rPr>
                <w:b/>
                <w:bCs/>
                <w:color w:val="000000"/>
              </w:rPr>
              <w:t>Mēnešalgas pašvaldībā</w:t>
            </w:r>
            <w:r w:rsidRPr="00A450F4">
              <w:rPr>
                <w:b/>
                <w:bCs/>
                <w:color w:val="000000"/>
              </w:rPr>
              <w:t> </w:t>
            </w:r>
          </w:p>
        </w:tc>
        <w:tc>
          <w:tcPr>
            <w:tcW w:w="1240" w:type="dxa"/>
            <w:vMerge w:val="restart"/>
            <w:tcBorders>
              <w:top w:val="single" w:sz="8" w:space="0" w:color="auto"/>
              <w:left w:val="single" w:sz="8" w:space="0" w:color="auto"/>
              <w:bottom w:val="single" w:sz="4" w:space="0" w:color="auto"/>
              <w:right w:val="single" w:sz="8" w:space="0" w:color="auto"/>
            </w:tcBorders>
            <w:shd w:val="clear" w:color="000000" w:fill="FFFFFF"/>
            <w:vAlign w:val="bottom"/>
          </w:tcPr>
          <w:p w:rsidR="003F4912" w:rsidRPr="00A450F4" w:rsidRDefault="003F4912" w:rsidP="00A450F4">
            <w:pPr>
              <w:jc w:val="center"/>
              <w:rPr>
                <w:color w:val="000000"/>
              </w:rPr>
            </w:pPr>
            <w:r w:rsidRPr="00A450F4">
              <w:rPr>
                <w:color w:val="000000"/>
              </w:rPr>
              <w:t>MK noteiktais maksimālais mēnešalgas apmērs, EUR</w:t>
            </w:r>
          </w:p>
        </w:tc>
      </w:tr>
      <w:tr w:rsidR="003F4912" w:rsidRPr="00A450F4" w:rsidTr="00AE7581">
        <w:trPr>
          <w:trHeight w:val="300"/>
        </w:trPr>
        <w:tc>
          <w:tcPr>
            <w:tcW w:w="960" w:type="dxa"/>
            <w:vMerge/>
            <w:tcBorders>
              <w:top w:val="single" w:sz="8" w:space="0" w:color="auto"/>
              <w:left w:val="single" w:sz="8" w:space="0" w:color="auto"/>
              <w:bottom w:val="single" w:sz="8" w:space="0" w:color="000000"/>
              <w:right w:val="single" w:sz="8" w:space="0" w:color="auto"/>
            </w:tcBorders>
            <w:vAlign w:val="center"/>
          </w:tcPr>
          <w:p w:rsidR="003F4912" w:rsidRPr="00A450F4" w:rsidRDefault="003F4912" w:rsidP="00A450F4">
            <w:pPr>
              <w:rPr>
                <w:b/>
                <w:bCs/>
                <w:color w:val="000000"/>
              </w:rPr>
            </w:pPr>
          </w:p>
        </w:tc>
        <w:tc>
          <w:tcPr>
            <w:tcW w:w="1700" w:type="dxa"/>
            <w:vMerge/>
            <w:tcBorders>
              <w:top w:val="single" w:sz="8" w:space="0" w:color="auto"/>
              <w:left w:val="single" w:sz="8" w:space="0" w:color="auto"/>
              <w:bottom w:val="single" w:sz="8" w:space="0" w:color="000000"/>
              <w:right w:val="single" w:sz="8" w:space="0" w:color="auto"/>
            </w:tcBorders>
            <w:vAlign w:val="center"/>
          </w:tcPr>
          <w:p w:rsidR="003F4912" w:rsidRPr="00A450F4" w:rsidRDefault="003F4912" w:rsidP="00A450F4">
            <w:pPr>
              <w:rPr>
                <w:b/>
                <w:bCs/>
                <w:color w:val="000000"/>
              </w:rPr>
            </w:pPr>
          </w:p>
        </w:tc>
        <w:tc>
          <w:tcPr>
            <w:tcW w:w="960" w:type="dxa"/>
            <w:vMerge w:val="restart"/>
            <w:tcBorders>
              <w:top w:val="nil"/>
              <w:left w:val="single" w:sz="4" w:space="0" w:color="auto"/>
              <w:bottom w:val="single" w:sz="8" w:space="0" w:color="000000"/>
              <w:right w:val="single" w:sz="4" w:space="0" w:color="auto"/>
            </w:tcBorders>
            <w:shd w:val="clear" w:color="000000" w:fill="FFFFFF"/>
            <w:textDirection w:val="btLr"/>
            <w:vAlign w:val="bottom"/>
          </w:tcPr>
          <w:p w:rsidR="003F4912" w:rsidRPr="00A450F4" w:rsidRDefault="003F4912" w:rsidP="00A450F4">
            <w:pPr>
              <w:jc w:val="center"/>
              <w:rPr>
                <w:color w:val="000000"/>
              </w:rPr>
            </w:pPr>
            <w:r w:rsidRPr="00A450F4">
              <w:rPr>
                <w:color w:val="000000"/>
                <w:sz w:val="22"/>
                <w:szCs w:val="22"/>
              </w:rPr>
              <w:t>maza pārvalde / maza izglītības iestāde, EUR</w:t>
            </w:r>
          </w:p>
        </w:tc>
        <w:tc>
          <w:tcPr>
            <w:tcW w:w="960" w:type="dxa"/>
            <w:vMerge w:val="restart"/>
            <w:tcBorders>
              <w:top w:val="nil"/>
              <w:left w:val="single" w:sz="4" w:space="0" w:color="auto"/>
              <w:bottom w:val="single" w:sz="8" w:space="0" w:color="000000"/>
              <w:right w:val="single" w:sz="4" w:space="0" w:color="auto"/>
            </w:tcBorders>
            <w:shd w:val="clear" w:color="000000" w:fill="FFFFFF"/>
            <w:textDirection w:val="btLr"/>
            <w:vAlign w:val="bottom"/>
          </w:tcPr>
          <w:p w:rsidR="003F4912" w:rsidRPr="00A450F4" w:rsidRDefault="003F4912" w:rsidP="00A450F4">
            <w:pPr>
              <w:jc w:val="center"/>
              <w:rPr>
                <w:color w:val="000000"/>
              </w:rPr>
            </w:pPr>
            <w:r w:rsidRPr="00A450F4">
              <w:rPr>
                <w:color w:val="000000"/>
                <w:sz w:val="22"/>
                <w:szCs w:val="22"/>
              </w:rPr>
              <w:t>vidēja pārvalde / vidēja izglītības iestāde, EUR</w:t>
            </w:r>
          </w:p>
        </w:tc>
        <w:tc>
          <w:tcPr>
            <w:tcW w:w="960" w:type="dxa"/>
            <w:vMerge w:val="restart"/>
            <w:tcBorders>
              <w:top w:val="nil"/>
              <w:left w:val="single" w:sz="4" w:space="0" w:color="auto"/>
              <w:bottom w:val="single" w:sz="8" w:space="0" w:color="000000"/>
              <w:right w:val="single" w:sz="4" w:space="0" w:color="auto"/>
            </w:tcBorders>
            <w:shd w:val="clear" w:color="000000" w:fill="FFFFFF"/>
            <w:textDirection w:val="btLr"/>
            <w:vAlign w:val="bottom"/>
          </w:tcPr>
          <w:p w:rsidR="003F4912" w:rsidRPr="00A450F4" w:rsidRDefault="003F4912" w:rsidP="00A450F4">
            <w:pPr>
              <w:jc w:val="center"/>
              <w:rPr>
                <w:color w:val="000000"/>
              </w:rPr>
            </w:pPr>
            <w:r w:rsidRPr="00A450F4">
              <w:rPr>
                <w:color w:val="000000"/>
                <w:sz w:val="22"/>
                <w:szCs w:val="22"/>
              </w:rPr>
              <w:t xml:space="preserve">liela pārvalde (pilsēta) /               liela izglītības iestāde, EUR </w:t>
            </w:r>
          </w:p>
        </w:tc>
        <w:tc>
          <w:tcPr>
            <w:tcW w:w="960" w:type="dxa"/>
            <w:vMerge w:val="restart"/>
            <w:tcBorders>
              <w:top w:val="nil"/>
              <w:left w:val="single" w:sz="4" w:space="0" w:color="auto"/>
              <w:bottom w:val="single" w:sz="8" w:space="0" w:color="000000"/>
              <w:right w:val="single" w:sz="8" w:space="0" w:color="auto"/>
            </w:tcBorders>
            <w:shd w:val="clear" w:color="000000" w:fill="FFFFFF"/>
            <w:textDirection w:val="btLr"/>
            <w:vAlign w:val="bottom"/>
          </w:tcPr>
          <w:p w:rsidR="003F4912" w:rsidRPr="00A450F4" w:rsidRDefault="003F4912" w:rsidP="00A450F4">
            <w:pPr>
              <w:jc w:val="center"/>
              <w:rPr>
                <w:color w:val="000000"/>
              </w:rPr>
            </w:pPr>
            <w:r w:rsidRPr="00A450F4">
              <w:rPr>
                <w:color w:val="000000"/>
              </w:rPr>
              <w:t>novads, EUR</w:t>
            </w:r>
          </w:p>
        </w:tc>
        <w:tc>
          <w:tcPr>
            <w:tcW w:w="1240" w:type="dxa"/>
            <w:vMerge/>
            <w:tcBorders>
              <w:top w:val="single" w:sz="8" w:space="0" w:color="auto"/>
              <w:left w:val="single" w:sz="8" w:space="0" w:color="auto"/>
              <w:bottom w:val="single" w:sz="4" w:space="0" w:color="auto"/>
              <w:right w:val="single" w:sz="8" w:space="0" w:color="auto"/>
            </w:tcBorders>
            <w:vAlign w:val="center"/>
          </w:tcPr>
          <w:p w:rsidR="003F4912" w:rsidRPr="00A450F4" w:rsidRDefault="003F4912" w:rsidP="00A450F4">
            <w:pPr>
              <w:rPr>
                <w:color w:val="000000"/>
              </w:rPr>
            </w:pPr>
          </w:p>
        </w:tc>
      </w:tr>
      <w:tr w:rsidR="003F4912" w:rsidRPr="00A450F4" w:rsidTr="00AE7581">
        <w:trPr>
          <w:trHeight w:val="300"/>
        </w:trPr>
        <w:tc>
          <w:tcPr>
            <w:tcW w:w="960" w:type="dxa"/>
            <w:vMerge/>
            <w:tcBorders>
              <w:top w:val="single" w:sz="8" w:space="0" w:color="auto"/>
              <w:left w:val="single" w:sz="8" w:space="0" w:color="auto"/>
              <w:bottom w:val="single" w:sz="8" w:space="0" w:color="000000"/>
              <w:right w:val="single" w:sz="8" w:space="0" w:color="auto"/>
            </w:tcBorders>
            <w:vAlign w:val="center"/>
          </w:tcPr>
          <w:p w:rsidR="003F4912" w:rsidRPr="00A450F4" w:rsidRDefault="003F4912" w:rsidP="00A450F4">
            <w:pPr>
              <w:rPr>
                <w:b/>
                <w:bCs/>
                <w:color w:val="000000"/>
              </w:rPr>
            </w:pPr>
          </w:p>
        </w:tc>
        <w:tc>
          <w:tcPr>
            <w:tcW w:w="1700" w:type="dxa"/>
            <w:vMerge/>
            <w:tcBorders>
              <w:top w:val="single" w:sz="8" w:space="0" w:color="auto"/>
              <w:left w:val="single" w:sz="8" w:space="0" w:color="auto"/>
              <w:bottom w:val="single" w:sz="8" w:space="0" w:color="000000"/>
              <w:right w:val="single" w:sz="8" w:space="0" w:color="auto"/>
            </w:tcBorders>
            <w:vAlign w:val="center"/>
          </w:tcPr>
          <w:p w:rsidR="003F4912" w:rsidRPr="00A450F4" w:rsidRDefault="003F4912" w:rsidP="00A450F4">
            <w:pPr>
              <w:rPr>
                <w:b/>
                <w:bCs/>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8" w:space="0" w:color="auto"/>
            </w:tcBorders>
            <w:vAlign w:val="center"/>
          </w:tcPr>
          <w:p w:rsidR="003F4912" w:rsidRPr="00A450F4" w:rsidRDefault="003F4912" w:rsidP="00A450F4">
            <w:pPr>
              <w:rPr>
                <w:color w:val="000000"/>
              </w:rPr>
            </w:pPr>
          </w:p>
        </w:tc>
        <w:tc>
          <w:tcPr>
            <w:tcW w:w="1240" w:type="dxa"/>
            <w:vMerge/>
            <w:tcBorders>
              <w:top w:val="single" w:sz="8" w:space="0" w:color="auto"/>
              <w:left w:val="single" w:sz="8" w:space="0" w:color="auto"/>
              <w:bottom w:val="single" w:sz="4" w:space="0" w:color="auto"/>
              <w:right w:val="single" w:sz="8" w:space="0" w:color="auto"/>
            </w:tcBorders>
            <w:vAlign w:val="center"/>
          </w:tcPr>
          <w:p w:rsidR="003F4912" w:rsidRPr="00A450F4" w:rsidRDefault="003F4912" w:rsidP="00A450F4">
            <w:pPr>
              <w:rPr>
                <w:color w:val="000000"/>
              </w:rPr>
            </w:pPr>
          </w:p>
        </w:tc>
      </w:tr>
      <w:tr w:rsidR="003F4912" w:rsidRPr="00A450F4" w:rsidTr="00AE7581">
        <w:trPr>
          <w:trHeight w:val="300"/>
        </w:trPr>
        <w:tc>
          <w:tcPr>
            <w:tcW w:w="960" w:type="dxa"/>
            <w:vMerge/>
            <w:tcBorders>
              <w:top w:val="single" w:sz="8" w:space="0" w:color="auto"/>
              <w:left w:val="single" w:sz="8" w:space="0" w:color="auto"/>
              <w:bottom w:val="single" w:sz="8" w:space="0" w:color="000000"/>
              <w:right w:val="single" w:sz="8" w:space="0" w:color="auto"/>
            </w:tcBorders>
            <w:vAlign w:val="center"/>
          </w:tcPr>
          <w:p w:rsidR="003F4912" w:rsidRPr="00A450F4" w:rsidRDefault="003F4912" w:rsidP="00A450F4">
            <w:pPr>
              <w:rPr>
                <w:b/>
                <w:bCs/>
                <w:color w:val="000000"/>
              </w:rPr>
            </w:pPr>
          </w:p>
        </w:tc>
        <w:tc>
          <w:tcPr>
            <w:tcW w:w="1700" w:type="dxa"/>
            <w:vMerge/>
            <w:tcBorders>
              <w:top w:val="single" w:sz="8" w:space="0" w:color="auto"/>
              <w:left w:val="single" w:sz="8" w:space="0" w:color="auto"/>
              <w:bottom w:val="single" w:sz="8" w:space="0" w:color="000000"/>
              <w:right w:val="single" w:sz="8" w:space="0" w:color="auto"/>
            </w:tcBorders>
            <w:vAlign w:val="center"/>
          </w:tcPr>
          <w:p w:rsidR="003F4912" w:rsidRPr="00A450F4" w:rsidRDefault="003F4912" w:rsidP="00A450F4">
            <w:pPr>
              <w:rPr>
                <w:b/>
                <w:bCs/>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8" w:space="0" w:color="auto"/>
            </w:tcBorders>
            <w:vAlign w:val="center"/>
          </w:tcPr>
          <w:p w:rsidR="003F4912" w:rsidRPr="00A450F4" w:rsidRDefault="003F4912" w:rsidP="00A450F4">
            <w:pPr>
              <w:rPr>
                <w:color w:val="000000"/>
              </w:rPr>
            </w:pPr>
          </w:p>
        </w:tc>
        <w:tc>
          <w:tcPr>
            <w:tcW w:w="1240" w:type="dxa"/>
            <w:vMerge/>
            <w:tcBorders>
              <w:top w:val="single" w:sz="8" w:space="0" w:color="auto"/>
              <w:left w:val="single" w:sz="8" w:space="0" w:color="auto"/>
              <w:bottom w:val="single" w:sz="4" w:space="0" w:color="auto"/>
              <w:right w:val="single" w:sz="8" w:space="0" w:color="auto"/>
            </w:tcBorders>
            <w:vAlign w:val="center"/>
          </w:tcPr>
          <w:p w:rsidR="003F4912" w:rsidRPr="00A450F4" w:rsidRDefault="003F4912" w:rsidP="00A450F4">
            <w:pPr>
              <w:rPr>
                <w:color w:val="000000"/>
              </w:rPr>
            </w:pPr>
          </w:p>
        </w:tc>
      </w:tr>
      <w:tr w:rsidR="003F4912" w:rsidRPr="00A450F4" w:rsidTr="00AE7581">
        <w:trPr>
          <w:trHeight w:val="1500"/>
        </w:trPr>
        <w:tc>
          <w:tcPr>
            <w:tcW w:w="960" w:type="dxa"/>
            <w:vMerge/>
            <w:tcBorders>
              <w:top w:val="single" w:sz="8" w:space="0" w:color="auto"/>
              <w:left w:val="single" w:sz="8" w:space="0" w:color="auto"/>
              <w:bottom w:val="single" w:sz="8" w:space="0" w:color="000000"/>
              <w:right w:val="single" w:sz="8" w:space="0" w:color="auto"/>
            </w:tcBorders>
            <w:vAlign w:val="center"/>
          </w:tcPr>
          <w:p w:rsidR="003F4912" w:rsidRPr="00A450F4" w:rsidRDefault="003F4912" w:rsidP="00A450F4">
            <w:pPr>
              <w:rPr>
                <w:b/>
                <w:bCs/>
                <w:color w:val="000000"/>
              </w:rPr>
            </w:pPr>
          </w:p>
        </w:tc>
        <w:tc>
          <w:tcPr>
            <w:tcW w:w="1700" w:type="dxa"/>
            <w:vMerge/>
            <w:tcBorders>
              <w:top w:val="single" w:sz="8" w:space="0" w:color="auto"/>
              <w:left w:val="single" w:sz="8" w:space="0" w:color="auto"/>
              <w:bottom w:val="single" w:sz="8" w:space="0" w:color="000000"/>
              <w:right w:val="single" w:sz="8" w:space="0" w:color="auto"/>
            </w:tcBorders>
            <w:vAlign w:val="center"/>
          </w:tcPr>
          <w:p w:rsidR="003F4912" w:rsidRPr="00A450F4" w:rsidRDefault="003F4912" w:rsidP="00A450F4">
            <w:pPr>
              <w:rPr>
                <w:b/>
                <w:bCs/>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4" w:space="0" w:color="auto"/>
            </w:tcBorders>
            <w:vAlign w:val="center"/>
          </w:tcPr>
          <w:p w:rsidR="003F4912" w:rsidRPr="00A450F4" w:rsidRDefault="003F4912" w:rsidP="00A450F4">
            <w:pPr>
              <w:rPr>
                <w:color w:val="000000"/>
              </w:rPr>
            </w:pPr>
          </w:p>
        </w:tc>
        <w:tc>
          <w:tcPr>
            <w:tcW w:w="960" w:type="dxa"/>
            <w:vMerge/>
            <w:tcBorders>
              <w:top w:val="nil"/>
              <w:left w:val="single" w:sz="4" w:space="0" w:color="auto"/>
              <w:bottom w:val="single" w:sz="8" w:space="0" w:color="000000"/>
              <w:right w:val="single" w:sz="8" w:space="0" w:color="auto"/>
            </w:tcBorders>
            <w:vAlign w:val="center"/>
          </w:tcPr>
          <w:p w:rsidR="003F4912" w:rsidRPr="00A450F4" w:rsidRDefault="003F4912" w:rsidP="00A450F4">
            <w:pPr>
              <w:rPr>
                <w:color w:val="000000"/>
              </w:rPr>
            </w:pPr>
          </w:p>
        </w:tc>
        <w:tc>
          <w:tcPr>
            <w:tcW w:w="1240" w:type="dxa"/>
            <w:vMerge/>
            <w:tcBorders>
              <w:top w:val="single" w:sz="8" w:space="0" w:color="auto"/>
              <w:left w:val="single" w:sz="8" w:space="0" w:color="auto"/>
              <w:bottom w:val="single" w:sz="4" w:space="0" w:color="auto"/>
              <w:right w:val="single" w:sz="8" w:space="0" w:color="auto"/>
            </w:tcBorders>
            <w:vAlign w:val="center"/>
          </w:tcPr>
          <w:p w:rsidR="003F4912" w:rsidRPr="00A450F4" w:rsidRDefault="003F4912" w:rsidP="00A450F4">
            <w:pPr>
              <w:rPr>
                <w:color w:val="000000"/>
              </w:rPr>
            </w:pP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16</w:t>
            </w:r>
          </w:p>
        </w:tc>
        <w:tc>
          <w:tcPr>
            <w:tcW w:w="170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strike/>
                <w:color w:val="000000"/>
              </w:rPr>
              <w:t> </w:t>
            </w:r>
          </w:p>
        </w:tc>
        <w:tc>
          <w:tcPr>
            <w:tcW w:w="1240" w:type="dxa"/>
            <w:tcBorders>
              <w:top w:val="single" w:sz="8" w:space="0" w:color="auto"/>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 </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15</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50</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1177</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2353</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14</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50</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1132</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2264</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13</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50-60</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959</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1022</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1085</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 </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1917</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12</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50-60</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824</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878</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932</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988</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1647</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11</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50-60</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691</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737</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782</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829</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1382</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10</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55-65</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646</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684</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723</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763</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1174</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9</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55-65</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547</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580</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612</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646</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994</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8</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60-70</w:t>
            </w:r>
          </w:p>
        </w:tc>
        <w:tc>
          <w:tcPr>
            <w:tcW w:w="960" w:type="dxa"/>
            <w:tcBorders>
              <w:top w:val="nil"/>
              <w:left w:val="nil"/>
              <w:bottom w:val="nil"/>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524</w:t>
            </w:r>
          </w:p>
        </w:tc>
        <w:tc>
          <w:tcPr>
            <w:tcW w:w="960" w:type="dxa"/>
            <w:tcBorders>
              <w:top w:val="nil"/>
              <w:left w:val="nil"/>
              <w:bottom w:val="nil"/>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553</w:t>
            </w:r>
          </w:p>
        </w:tc>
        <w:tc>
          <w:tcPr>
            <w:tcW w:w="960" w:type="dxa"/>
            <w:tcBorders>
              <w:top w:val="nil"/>
              <w:left w:val="nil"/>
              <w:bottom w:val="nil"/>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582</w:t>
            </w:r>
          </w:p>
        </w:tc>
        <w:tc>
          <w:tcPr>
            <w:tcW w:w="960" w:type="dxa"/>
            <w:tcBorders>
              <w:top w:val="nil"/>
              <w:left w:val="nil"/>
              <w:bottom w:val="nil"/>
              <w:right w:val="nil"/>
            </w:tcBorders>
            <w:shd w:val="clear" w:color="000000" w:fill="FFFFFF"/>
            <w:noWrap/>
            <w:vAlign w:val="center"/>
          </w:tcPr>
          <w:p w:rsidR="003F4912" w:rsidRPr="00A450F4" w:rsidRDefault="003F4912" w:rsidP="00A450F4">
            <w:pPr>
              <w:jc w:val="center"/>
              <w:rPr>
                <w:color w:val="000000"/>
              </w:rPr>
            </w:pPr>
            <w:r w:rsidRPr="00A450F4">
              <w:rPr>
                <w:color w:val="000000"/>
              </w:rPr>
              <w:t>612</w:t>
            </w:r>
          </w:p>
        </w:tc>
        <w:tc>
          <w:tcPr>
            <w:tcW w:w="1240" w:type="dxa"/>
            <w:tcBorders>
              <w:top w:val="nil"/>
              <w:left w:val="single" w:sz="8" w:space="0" w:color="auto"/>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874</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7</w:t>
            </w:r>
          </w:p>
        </w:tc>
        <w:tc>
          <w:tcPr>
            <w:tcW w:w="1700" w:type="dxa"/>
            <w:tcBorders>
              <w:top w:val="nil"/>
              <w:left w:val="nil"/>
              <w:bottom w:val="single" w:sz="4" w:space="0" w:color="auto"/>
              <w:right w:val="nil"/>
            </w:tcBorders>
            <w:shd w:val="clear" w:color="000000" w:fill="FFFFFF"/>
            <w:noWrap/>
            <w:vAlign w:val="bottom"/>
          </w:tcPr>
          <w:p w:rsidR="003F4912" w:rsidRPr="00A450F4" w:rsidRDefault="003F4912" w:rsidP="00A450F4">
            <w:pPr>
              <w:jc w:val="center"/>
              <w:rPr>
                <w:color w:val="000000"/>
              </w:rPr>
            </w:pPr>
            <w:r w:rsidRPr="00A450F4">
              <w:rPr>
                <w:color w:val="000000"/>
              </w:rPr>
              <w:t>60-70</w:t>
            </w:r>
          </w:p>
        </w:tc>
        <w:tc>
          <w:tcPr>
            <w:tcW w:w="96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473</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499</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525</w:t>
            </w:r>
          </w:p>
        </w:tc>
        <w:tc>
          <w:tcPr>
            <w:tcW w:w="960" w:type="dxa"/>
            <w:tcBorders>
              <w:top w:val="single" w:sz="4" w:space="0" w:color="auto"/>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552</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788</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6</w:t>
            </w:r>
          </w:p>
        </w:tc>
        <w:tc>
          <w:tcPr>
            <w:tcW w:w="1700" w:type="dxa"/>
            <w:tcBorders>
              <w:top w:val="nil"/>
              <w:left w:val="nil"/>
              <w:bottom w:val="single" w:sz="4" w:space="0" w:color="auto"/>
              <w:right w:val="nil"/>
            </w:tcBorders>
            <w:shd w:val="clear" w:color="000000" w:fill="FFFFFF"/>
            <w:noWrap/>
            <w:vAlign w:val="bottom"/>
          </w:tcPr>
          <w:p w:rsidR="003F4912" w:rsidRPr="00A450F4" w:rsidRDefault="003F4912" w:rsidP="00A450F4">
            <w:pPr>
              <w:jc w:val="center"/>
              <w:rPr>
                <w:color w:val="000000"/>
              </w:rPr>
            </w:pPr>
            <w:r w:rsidRPr="00A450F4">
              <w:rPr>
                <w:color w:val="000000"/>
              </w:rPr>
              <w:t>60-70</w:t>
            </w:r>
          </w:p>
        </w:tc>
        <w:tc>
          <w:tcPr>
            <w:tcW w:w="960" w:type="dxa"/>
            <w:tcBorders>
              <w:top w:val="nil"/>
              <w:left w:val="single" w:sz="8" w:space="0" w:color="auto"/>
              <w:bottom w:val="nil"/>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420</w:t>
            </w:r>
          </w:p>
        </w:tc>
        <w:tc>
          <w:tcPr>
            <w:tcW w:w="960" w:type="dxa"/>
            <w:tcBorders>
              <w:top w:val="nil"/>
              <w:left w:val="nil"/>
              <w:bottom w:val="nil"/>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443</w:t>
            </w:r>
          </w:p>
        </w:tc>
        <w:tc>
          <w:tcPr>
            <w:tcW w:w="960" w:type="dxa"/>
            <w:tcBorders>
              <w:top w:val="nil"/>
              <w:left w:val="nil"/>
              <w:bottom w:val="nil"/>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466</w:t>
            </w:r>
          </w:p>
        </w:tc>
        <w:tc>
          <w:tcPr>
            <w:tcW w:w="960" w:type="dxa"/>
            <w:tcBorders>
              <w:top w:val="nil"/>
              <w:left w:val="nil"/>
              <w:bottom w:val="nil"/>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490</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700</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5</w:t>
            </w:r>
          </w:p>
        </w:tc>
        <w:tc>
          <w:tcPr>
            <w:tcW w:w="1700" w:type="dxa"/>
            <w:tcBorders>
              <w:top w:val="nil"/>
              <w:left w:val="nil"/>
              <w:bottom w:val="single" w:sz="4" w:space="0" w:color="auto"/>
              <w:right w:val="nil"/>
            </w:tcBorders>
            <w:shd w:val="clear" w:color="000000" w:fill="FFFFFF"/>
            <w:noWrap/>
            <w:vAlign w:val="bottom"/>
          </w:tcPr>
          <w:p w:rsidR="003F4912" w:rsidRPr="00A450F4" w:rsidRDefault="003F4912" w:rsidP="00A450F4">
            <w:pPr>
              <w:jc w:val="center"/>
              <w:rPr>
                <w:color w:val="000000"/>
              </w:rPr>
            </w:pPr>
            <w:r w:rsidRPr="00A450F4">
              <w:rPr>
                <w:color w:val="000000"/>
              </w:rPr>
              <w:t>60-70</w:t>
            </w:r>
          </w:p>
        </w:tc>
        <w:tc>
          <w:tcPr>
            <w:tcW w:w="960"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372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392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413</w:t>
            </w:r>
          </w:p>
        </w:tc>
        <w:tc>
          <w:tcPr>
            <w:tcW w:w="960" w:type="dxa"/>
            <w:tcBorders>
              <w:top w:val="single" w:sz="4" w:space="0" w:color="auto"/>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434</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620</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4</w:t>
            </w:r>
          </w:p>
        </w:tc>
        <w:tc>
          <w:tcPr>
            <w:tcW w:w="1700" w:type="dxa"/>
            <w:tcBorders>
              <w:top w:val="nil"/>
              <w:left w:val="nil"/>
              <w:bottom w:val="single" w:sz="4" w:space="0" w:color="auto"/>
              <w:right w:val="nil"/>
            </w:tcBorders>
            <w:shd w:val="clear" w:color="000000" w:fill="FFFFFF"/>
            <w:noWrap/>
            <w:vAlign w:val="bottom"/>
          </w:tcPr>
          <w:p w:rsidR="003F4912" w:rsidRPr="00A450F4" w:rsidRDefault="003F4912" w:rsidP="00A450F4">
            <w:pPr>
              <w:jc w:val="center"/>
              <w:rPr>
                <w:color w:val="000000"/>
              </w:rPr>
            </w:pPr>
            <w:r w:rsidRPr="00A450F4">
              <w:rPr>
                <w:color w:val="000000"/>
              </w:rPr>
              <w:t>63-70</w:t>
            </w:r>
          </w:p>
        </w:tc>
        <w:tc>
          <w:tcPr>
            <w:tcW w:w="960" w:type="dxa"/>
            <w:tcBorders>
              <w:top w:val="nil"/>
              <w:left w:val="single" w:sz="8" w:space="0" w:color="auto"/>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345</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Pr>
                <w:color w:val="000000"/>
              </w:rPr>
              <w:t>358</w:t>
            </w:r>
          </w:p>
        </w:tc>
        <w:tc>
          <w:tcPr>
            <w:tcW w:w="960" w:type="dxa"/>
            <w:tcBorders>
              <w:top w:val="nil"/>
              <w:left w:val="nil"/>
              <w:bottom w:val="single" w:sz="4" w:space="0" w:color="auto"/>
              <w:right w:val="single" w:sz="4" w:space="0" w:color="auto"/>
            </w:tcBorders>
            <w:shd w:val="clear" w:color="000000" w:fill="FFFFFF"/>
            <w:noWrap/>
            <w:vAlign w:val="center"/>
          </w:tcPr>
          <w:p w:rsidR="003F4912" w:rsidRPr="00A450F4" w:rsidRDefault="003F4912" w:rsidP="00A450F4">
            <w:pPr>
              <w:jc w:val="center"/>
              <w:rPr>
                <w:color w:val="000000"/>
              </w:rPr>
            </w:pPr>
            <w:r w:rsidRPr="00A450F4">
              <w:rPr>
                <w:color w:val="000000"/>
              </w:rPr>
              <w:t>370</w:t>
            </w:r>
          </w:p>
        </w:tc>
        <w:tc>
          <w:tcPr>
            <w:tcW w:w="960" w:type="dxa"/>
            <w:tcBorders>
              <w:top w:val="nil"/>
              <w:left w:val="nil"/>
              <w:bottom w:val="single" w:sz="4" w:space="0" w:color="auto"/>
              <w:right w:val="single" w:sz="8" w:space="0" w:color="auto"/>
            </w:tcBorders>
            <w:shd w:val="clear" w:color="000000" w:fill="FFFFFF"/>
            <w:noWrap/>
            <w:vAlign w:val="center"/>
          </w:tcPr>
          <w:p w:rsidR="003F4912" w:rsidRPr="00A450F4" w:rsidRDefault="003F4912" w:rsidP="00A450F4">
            <w:pPr>
              <w:jc w:val="center"/>
              <w:rPr>
                <w:color w:val="000000"/>
              </w:rPr>
            </w:pPr>
            <w:r w:rsidRPr="00A450F4">
              <w:rPr>
                <w:color w:val="000000"/>
              </w:rPr>
              <w:t>384</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548</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3</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69,5</w:t>
            </w:r>
          </w:p>
        </w:tc>
        <w:tc>
          <w:tcPr>
            <w:tcW w:w="3840" w:type="dxa"/>
            <w:gridSpan w:val="4"/>
            <w:tcBorders>
              <w:top w:val="nil"/>
              <w:left w:val="nil"/>
              <w:bottom w:val="single" w:sz="4" w:space="0" w:color="auto"/>
              <w:right w:val="single" w:sz="8" w:space="0" w:color="000000"/>
            </w:tcBorders>
            <w:shd w:val="clear" w:color="000000" w:fill="FFFFFF"/>
            <w:noWrap/>
            <w:vAlign w:val="center"/>
          </w:tcPr>
          <w:p w:rsidR="003F4912" w:rsidRPr="00A450F4" w:rsidRDefault="003F4912" w:rsidP="00A450F4">
            <w:pPr>
              <w:jc w:val="center"/>
              <w:rPr>
                <w:color w:val="000000"/>
              </w:rPr>
            </w:pPr>
            <w:r w:rsidRPr="00A450F4">
              <w:rPr>
                <w:color w:val="000000"/>
              </w:rPr>
              <w:t>334</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481</w:t>
            </w:r>
          </w:p>
        </w:tc>
      </w:tr>
      <w:tr w:rsidR="003F4912" w:rsidRPr="00A450F4" w:rsidTr="00AE7581">
        <w:trPr>
          <w:trHeight w:val="315"/>
        </w:trPr>
        <w:tc>
          <w:tcPr>
            <w:tcW w:w="960" w:type="dxa"/>
            <w:tcBorders>
              <w:top w:val="nil"/>
              <w:left w:val="single" w:sz="4" w:space="0" w:color="auto"/>
              <w:bottom w:val="single" w:sz="4"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2</w:t>
            </w:r>
          </w:p>
        </w:tc>
        <w:tc>
          <w:tcPr>
            <w:tcW w:w="170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78</w:t>
            </w:r>
          </w:p>
        </w:tc>
        <w:tc>
          <w:tcPr>
            <w:tcW w:w="3840" w:type="dxa"/>
            <w:gridSpan w:val="4"/>
            <w:tcBorders>
              <w:top w:val="single" w:sz="4" w:space="0" w:color="auto"/>
              <w:left w:val="nil"/>
              <w:bottom w:val="single" w:sz="4" w:space="0" w:color="auto"/>
              <w:right w:val="single" w:sz="8" w:space="0" w:color="000000"/>
            </w:tcBorders>
            <w:shd w:val="clear" w:color="000000" w:fill="FFFFFF"/>
            <w:noWrap/>
            <w:vAlign w:val="center"/>
          </w:tcPr>
          <w:p w:rsidR="003F4912" w:rsidRPr="00A450F4" w:rsidRDefault="003F4912" w:rsidP="00A450F4">
            <w:pPr>
              <w:jc w:val="center"/>
              <w:rPr>
                <w:color w:val="000000"/>
              </w:rPr>
            </w:pPr>
            <w:r w:rsidRPr="00A450F4">
              <w:rPr>
                <w:color w:val="000000"/>
              </w:rPr>
              <w:t>328</w:t>
            </w:r>
          </w:p>
        </w:tc>
        <w:tc>
          <w:tcPr>
            <w:tcW w:w="1240" w:type="dxa"/>
            <w:tcBorders>
              <w:top w:val="nil"/>
              <w:left w:val="nil"/>
              <w:bottom w:val="single" w:sz="4"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420</w:t>
            </w:r>
          </w:p>
        </w:tc>
      </w:tr>
      <w:tr w:rsidR="003F4912" w:rsidRPr="00A450F4" w:rsidTr="00AE7581">
        <w:trPr>
          <w:trHeight w:val="330"/>
        </w:trPr>
        <w:tc>
          <w:tcPr>
            <w:tcW w:w="960" w:type="dxa"/>
            <w:tcBorders>
              <w:top w:val="nil"/>
              <w:left w:val="single" w:sz="4" w:space="0" w:color="auto"/>
              <w:bottom w:val="single" w:sz="8" w:space="0" w:color="auto"/>
              <w:right w:val="single" w:sz="8" w:space="0" w:color="auto"/>
            </w:tcBorders>
            <w:shd w:val="clear" w:color="000000" w:fill="F2F2F2"/>
            <w:noWrap/>
            <w:vAlign w:val="center"/>
          </w:tcPr>
          <w:p w:rsidR="003F4912" w:rsidRPr="00A450F4" w:rsidRDefault="003F4912" w:rsidP="00A450F4">
            <w:pPr>
              <w:jc w:val="center"/>
              <w:rPr>
                <w:color w:val="000000"/>
              </w:rPr>
            </w:pPr>
            <w:r w:rsidRPr="00A450F4">
              <w:rPr>
                <w:color w:val="000000"/>
              </w:rPr>
              <w:t>1</w:t>
            </w:r>
          </w:p>
        </w:tc>
        <w:tc>
          <w:tcPr>
            <w:tcW w:w="1700" w:type="dxa"/>
            <w:tcBorders>
              <w:top w:val="nil"/>
              <w:left w:val="nil"/>
              <w:bottom w:val="single" w:sz="8"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88,1</w:t>
            </w:r>
          </w:p>
        </w:tc>
        <w:tc>
          <w:tcPr>
            <w:tcW w:w="3840" w:type="dxa"/>
            <w:gridSpan w:val="4"/>
            <w:tcBorders>
              <w:top w:val="single" w:sz="4" w:space="0" w:color="auto"/>
              <w:left w:val="nil"/>
              <w:bottom w:val="single" w:sz="8" w:space="0" w:color="auto"/>
              <w:right w:val="single" w:sz="8" w:space="0" w:color="000000"/>
            </w:tcBorders>
            <w:shd w:val="clear" w:color="000000" w:fill="FFFFFF"/>
            <w:noWrap/>
            <w:vAlign w:val="center"/>
          </w:tcPr>
          <w:p w:rsidR="003F4912" w:rsidRPr="00A450F4" w:rsidRDefault="003F4912" w:rsidP="00A450F4">
            <w:pPr>
              <w:jc w:val="center"/>
              <w:rPr>
                <w:color w:val="000000"/>
              </w:rPr>
            </w:pPr>
            <w:r w:rsidRPr="00A450F4">
              <w:rPr>
                <w:color w:val="000000"/>
              </w:rPr>
              <w:t>320</w:t>
            </w:r>
          </w:p>
        </w:tc>
        <w:tc>
          <w:tcPr>
            <w:tcW w:w="1240" w:type="dxa"/>
            <w:tcBorders>
              <w:top w:val="nil"/>
              <w:left w:val="nil"/>
              <w:bottom w:val="single" w:sz="8" w:space="0" w:color="auto"/>
              <w:right w:val="single" w:sz="8" w:space="0" w:color="auto"/>
            </w:tcBorders>
            <w:shd w:val="clear" w:color="000000" w:fill="FFFFFF"/>
            <w:noWrap/>
            <w:vAlign w:val="bottom"/>
          </w:tcPr>
          <w:p w:rsidR="003F4912" w:rsidRPr="00A450F4" w:rsidRDefault="003F4912" w:rsidP="00A450F4">
            <w:pPr>
              <w:jc w:val="center"/>
              <w:rPr>
                <w:color w:val="000000"/>
              </w:rPr>
            </w:pPr>
            <w:r w:rsidRPr="00A450F4">
              <w:rPr>
                <w:color w:val="000000"/>
              </w:rPr>
              <w:t>363</w:t>
            </w:r>
          </w:p>
        </w:tc>
      </w:tr>
    </w:tbl>
    <w:p w:rsidR="003F4912" w:rsidRDefault="003F4912" w:rsidP="00275C58">
      <w:pPr>
        <w:jc w:val="both"/>
      </w:pPr>
    </w:p>
    <w:p w:rsidR="003F4912" w:rsidRDefault="003F4912" w:rsidP="00275C58">
      <w:pPr>
        <w:jc w:val="both"/>
      </w:pPr>
    </w:p>
    <w:p w:rsidR="003F4912" w:rsidRDefault="003F4912" w:rsidP="00275C58">
      <w:pPr>
        <w:jc w:val="both"/>
      </w:pPr>
      <w:r>
        <w:t>Domes priekšsēdētāja</w:t>
      </w:r>
      <w:r>
        <w:tab/>
      </w:r>
      <w:r>
        <w:tab/>
      </w:r>
      <w:r>
        <w:tab/>
      </w:r>
      <w:r>
        <w:tab/>
      </w:r>
      <w:r>
        <w:tab/>
      </w:r>
      <w:proofErr w:type="spellStart"/>
      <w:r>
        <w:t>V.Jablonska</w:t>
      </w:r>
      <w:proofErr w:type="spellEnd"/>
    </w:p>
    <w:sectPr w:rsidR="003F4912" w:rsidSect="00E02D0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0A0A"/>
    <w:multiLevelType w:val="hybridMultilevel"/>
    <w:tmpl w:val="FFB2EDE6"/>
    <w:lvl w:ilvl="0" w:tplc="32A6991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D0C"/>
    <w:rsid w:val="00043A6E"/>
    <w:rsid w:val="000944F3"/>
    <w:rsid w:val="00140F86"/>
    <w:rsid w:val="00156091"/>
    <w:rsid w:val="0016096A"/>
    <w:rsid w:val="0017560B"/>
    <w:rsid w:val="001D75FE"/>
    <w:rsid w:val="002017C5"/>
    <w:rsid w:val="00204FB5"/>
    <w:rsid w:val="0025190A"/>
    <w:rsid w:val="00265A52"/>
    <w:rsid w:val="002721D0"/>
    <w:rsid w:val="00274E6D"/>
    <w:rsid w:val="00275C58"/>
    <w:rsid w:val="002848A2"/>
    <w:rsid w:val="002A7543"/>
    <w:rsid w:val="002C6E70"/>
    <w:rsid w:val="002D2391"/>
    <w:rsid w:val="00322CCA"/>
    <w:rsid w:val="00331C3A"/>
    <w:rsid w:val="00366D2C"/>
    <w:rsid w:val="003E6A22"/>
    <w:rsid w:val="003F4912"/>
    <w:rsid w:val="004153F2"/>
    <w:rsid w:val="00455594"/>
    <w:rsid w:val="004611A8"/>
    <w:rsid w:val="00475080"/>
    <w:rsid w:val="00487547"/>
    <w:rsid w:val="004C5F73"/>
    <w:rsid w:val="004C7B36"/>
    <w:rsid w:val="005073B1"/>
    <w:rsid w:val="00521538"/>
    <w:rsid w:val="00526963"/>
    <w:rsid w:val="00540078"/>
    <w:rsid w:val="005522C7"/>
    <w:rsid w:val="0055583F"/>
    <w:rsid w:val="00580C26"/>
    <w:rsid w:val="0059451D"/>
    <w:rsid w:val="005D3CAA"/>
    <w:rsid w:val="005F7C07"/>
    <w:rsid w:val="00600214"/>
    <w:rsid w:val="00650629"/>
    <w:rsid w:val="00672AF3"/>
    <w:rsid w:val="00687724"/>
    <w:rsid w:val="00691696"/>
    <w:rsid w:val="006A618F"/>
    <w:rsid w:val="006B1EF3"/>
    <w:rsid w:val="00712A33"/>
    <w:rsid w:val="007331DD"/>
    <w:rsid w:val="00757216"/>
    <w:rsid w:val="00765422"/>
    <w:rsid w:val="00772227"/>
    <w:rsid w:val="007B2CAA"/>
    <w:rsid w:val="007E2D7B"/>
    <w:rsid w:val="00816361"/>
    <w:rsid w:val="00825450"/>
    <w:rsid w:val="00836AB3"/>
    <w:rsid w:val="00845A8C"/>
    <w:rsid w:val="00852E58"/>
    <w:rsid w:val="008C6BF2"/>
    <w:rsid w:val="0098068C"/>
    <w:rsid w:val="009C0EFE"/>
    <w:rsid w:val="009D3ECF"/>
    <w:rsid w:val="009E47B1"/>
    <w:rsid w:val="00A212A0"/>
    <w:rsid w:val="00A450F4"/>
    <w:rsid w:val="00AA6C32"/>
    <w:rsid w:val="00AB34A7"/>
    <w:rsid w:val="00AE7581"/>
    <w:rsid w:val="00AE7CB4"/>
    <w:rsid w:val="00AF560F"/>
    <w:rsid w:val="00B26730"/>
    <w:rsid w:val="00B35810"/>
    <w:rsid w:val="00C16418"/>
    <w:rsid w:val="00C8315F"/>
    <w:rsid w:val="00C84421"/>
    <w:rsid w:val="00C9059A"/>
    <w:rsid w:val="00D277D9"/>
    <w:rsid w:val="00D876AF"/>
    <w:rsid w:val="00DB36DD"/>
    <w:rsid w:val="00DB7E17"/>
    <w:rsid w:val="00E02D0C"/>
    <w:rsid w:val="00E56F82"/>
    <w:rsid w:val="00E611B3"/>
    <w:rsid w:val="00E96A43"/>
    <w:rsid w:val="00FB5CF7"/>
    <w:rsid w:val="00FD7508"/>
    <w:rsid w:val="00FE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02D0C"/>
    <w:rPr>
      <w:rFonts w:ascii="Times New Roman" w:hAnsi="Times New Roman"/>
      <w:sz w:val="24"/>
      <w:szCs w:val="24"/>
    </w:rPr>
  </w:style>
  <w:style w:type="paragraph" w:styleId="Virsraksts1">
    <w:name w:val="heading 1"/>
    <w:basedOn w:val="Parasts"/>
    <w:next w:val="Parasts"/>
    <w:link w:val="Virsraksts1Rakstz"/>
    <w:uiPriority w:val="99"/>
    <w:qFormat/>
    <w:locked/>
    <w:rsid w:val="002721D0"/>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526963"/>
    <w:rPr>
      <w:rFonts w:ascii="Cambria" w:hAnsi="Cambria" w:cs="Times New Roman"/>
      <w:b/>
      <w:bCs/>
      <w:kern w:val="32"/>
      <w:sz w:val="32"/>
      <w:szCs w:val="32"/>
      <w:lang w:val="lv-LV" w:eastAsia="lv-LV"/>
    </w:rPr>
  </w:style>
  <w:style w:type="paragraph" w:styleId="Sarakstarindkopa">
    <w:name w:val="List Paragraph"/>
    <w:basedOn w:val="Parasts"/>
    <w:uiPriority w:val="99"/>
    <w:qFormat/>
    <w:rsid w:val="0027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8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6786</Words>
  <Characters>3869</Characters>
  <Application>Microsoft Office Word</Application>
  <DocSecurity>0</DocSecurity>
  <Lines>32</Lines>
  <Paragraphs>21</Paragraphs>
  <ScaleCrop>false</ScaleCrop>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dc:description/>
  <cp:lastModifiedBy>User</cp:lastModifiedBy>
  <cp:revision>40</cp:revision>
  <cp:lastPrinted>2014-01-14T07:36:00Z</cp:lastPrinted>
  <dcterms:created xsi:type="dcterms:W3CDTF">2014-01-13T13:56:00Z</dcterms:created>
  <dcterms:modified xsi:type="dcterms:W3CDTF">2014-01-23T10:40:00Z</dcterms:modified>
</cp:coreProperties>
</file>